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41EA2" w14:textId="77777777" w:rsidR="004C131C" w:rsidRPr="00783178" w:rsidRDefault="00252F68" w:rsidP="000E63B7">
      <w:pPr>
        <w:rPr>
          <w:sz w:val="24"/>
          <w:szCs w:val="24"/>
          <w:lang w:val="fr-FR"/>
        </w:rPr>
      </w:pPr>
      <w:r w:rsidRPr="00783178">
        <w:rPr>
          <w:sz w:val="24"/>
          <w:szCs w:val="24"/>
          <w:lang w:val="fr-FR"/>
        </w:rPr>
        <w:t>P</w:t>
      </w:r>
      <w:r w:rsidR="00C140BD" w:rsidRPr="00783178">
        <w:rPr>
          <w:sz w:val="24"/>
          <w:szCs w:val="24"/>
          <w:lang w:val="fr-FR"/>
        </w:rPr>
        <w:t xml:space="preserve">aris, le </w:t>
      </w:r>
      <w:r w:rsidR="007423CF">
        <w:rPr>
          <w:sz w:val="24"/>
          <w:szCs w:val="24"/>
          <w:lang w:val="fr-FR"/>
        </w:rPr>
        <w:t>25</w:t>
      </w:r>
      <w:r w:rsidR="00C140BD" w:rsidRPr="00783178">
        <w:rPr>
          <w:sz w:val="24"/>
          <w:szCs w:val="24"/>
          <w:lang w:val="fr-FR"/>
        </w:rPr>
        <w:t xml:space="preserve"> juillet 20</w:t>
      </w:r>
      <w:r w:rsidR="00B90013">
        <w:rPr>
          <w:sz w:val="24"/>
          <w:szCs w:val="24"/>
          <w:lang w:val="fr-FR"/>
        </w:rPr>
        <w:t>2</w:t>
      </w:r>
      <w:r w:rsidR="002250C6">
        <w:rPr>
          <w:sz w:val="24"/>
          <w:szCs w:val="24"/>
          <w:lang w:val="fr-FR"/>
        </w:rPr>
        <w:t>3</w:t>
      </w:r>
    </w:p>
    <w:p w14:paraId="4B3830CD" w14:textId="77777777" w:rsidR="00D5697C" w:rsidRPr="005C09EA" w:rsidRDefault="00D5697C" w:rsidP="00D5697C">
      <w:pPr>
        <w:rPr>
          <w:sz w:val="16"/>
          <w:szCs w:val="16"/>
          <w:lang w:val="fr-FR"/>
        </w:rPr>
      </w:pPr>
    </w:p>
    <w:p w14:paraId="45B4FD5E" w14:textId="77777777" w:rsidR="00F71827" w:rsidRDefault="00F71827" w:rsidP="00234E6F">
      <w:pPr>
        <w:pStyle w:val="Corpsdetexte"/>
        <w:rPr>
          <w:sz w:val="22"/>
          <w:szCs w:val="22"/>
        </w:rPr>
      </w:pPr>
    </w:p>
    <w:p w14:paraId="4B68D145" w14:textId="77777777" w:rsidR="00F71827" w:rsidRDefault="00F71827" w:rsidP="00234E6F">
      <w:pPr>
        <w:pStyle w:val="Corpsdetexte"/>
        <w:rPr>
          <w:sz w:val="22"/>
          <w:szCs w:val="22"/>
        </w:rPr>
      </w:pPr>
    </w:p>
    <w:p w14:paraId="0F3120E8" w14:textId="77777777" w:rsidR="00234E6F" w:rsidRPr="00F71827" w:rsidRDefault="00C140BD" w:rsidP="00234E6F">
      <w:pPr>
        <w:pStyle w:val="Corpsdetexte"/>
        <w:rPr>
          <w:color w:val="000000"/>
          <w:sz w:val="22"/>
          <w:szCs w:val="22"/>
        </w:rPr>
      </w:pPr>
      <w:r w:rsidRPr="00F71827">
        <w:rPr>
          <w:sz w:val="22"/>
          <w:szCs w:val="22"/>
        </w:rPr>
        <w:t xml:space="preserve">LVMH Moët Hennessy Louis Vuitton, </w:t>
      </w:r>
      <w:r w:rsidR="00984EDE" w:rsidRPr="00F71827">
        <w:rPr>
          <w:sz w:val="22"/>
          <w:szCs w:val="22"/>
        </w:rPr>
        <w:t xml:space="preserve">leader mondial des produits de </w:t>
      </w:r>
      <w:r w:rsidR="00A44C11" w:rsidRPr="00F71827">
        <w:rPr>
          <w:sz w:val="22"/>
          <w:szCs w:val="22"/>
        </w:rPr>
        <w:t>haute qualité</w:t>
      </w:r>
      <w:r w:rsidR="00984EDE" w:rsidRPr="00F71827">
        <w:rPr>
          <w:sz w:val="22"/>
          <w:szCs w:val="22"/>
        </w:rPr>
        <w:t>, réalise au premier semestre 20</w:t>
      </w:r>
      <w:r w:rsidR="00B90013" w:rsidRPr="00F71827">
        <w:rPr>
          <w:sz w:val="22"/>
          <w:szCs w:val="22"/>
        </w:rPr>
        <w:t>2</w:t>
      </w:r>
      <w:r w:rsidR="00906D9C" w:rsidRPr="00F71827">
        <w:rPr>
          <w:sz w:val="22"/>
          <w:szCs w:val="22"/>
        </w:rPr>
        <w:t>3</w:t>
      </w:r>
      <w:r w:rsidR="00984EDE" w:rsidRPr="00F71827">
        <w:rPr>
          <w:sz w:val="22"/>
          <w:szCs w:val="22"/>
        </w:rPr>
        <w:t xml:space="preserve"> des ventes de</w:t>
      </w:r>
      <w:r w:rsidR="00830E34" w:rsidRPr="00F71827">
        <w:rPr>
          <w:sz w:val="22"/>
          <w:szCs w:val="22"/>
        </w:rPr>
        <w:t xml:space="preserve"> </w:t>
      </w:r>
      <w:r w:rsidR="007423CF" w:rsidRPr="00F71827">
        <w:rPr>
          <w:sz w:val="22"/>
          <w:szCs w:val="22"/>
        </w:rPr>
        <w:t>42,2</w:t>
      </w:r>
      <w:r w:rsidR="00984EDE" w:rsidRPr="00F71827">
        <w:rPr>
          <w:sz w:val="22"/>
          <w:szCs w:val="22"/>
        </w:rPr>
        <w:t xml:space="preserve"> milliards d’euros, en</w:t>
      </w:r>
      <w:r w:rsidR="00A44C11" w:rsidRPr="00F71827">
        <w:rPr>
          <w:sz w:val="22"/>
          <w:szCs w:val="22"/>
        </w:rPr>
        <w:t xml:space="preserve"> </w:t>
      </w:r>
      <w:r w:rsidR="004F434F" w:rsidRPr="00F71827">
        <w:rPr>
          <w:sz w:val="22"/>
          <w:szCs w:val="22"/>
        </w:rPr>
        <w:t xml:space="preserve">hausse </w:t>
      </w:r>
      <w:r w:rsidR="00A44C11" w:rsidRPr="00F71827">
        <w:rPr>
          <w:sz w:val="22"/>
          <w:szCs w:val="22"/>
        </w:rPr>
        <w:t xml:space="preserve">de </w:t>
      </w:r>
      <w:r w:rsidR="007423CF" w:rsidRPr="00F71827">
        <w:rPr>
          <w:sz w:val="22"/>
          <w:szCs w:val="22"/>
        </w:rPr>
        <w:t>15</w:t>
      </w:r>
      <w:r w:rsidR="00A44C11" w:rsidRPr="00F71827">
        <w:rPr>
          <w:sz w:val="22"/>
          <w:szCs w:val="22"/>
        </w:rPr>
        <w:t xml:space="preserve"> %</w:t>
      </w:r>
      <w:r w:rsidR="00233B7E" w:rsidRPr="00F71827">
        <w:rPr>
          <w:sz w:val="22"/>
          <w:szCs w:val="22"/>
        </w:rPr>
        <w:t>.</w:t>
      </w:r>
      <w:r w:rsidR="006D3CB1" w:rsidRPr="00F71827">
        <w:rPr>
          <w:sz w:val="22"/>
          <w:szCs w:val="22"/>
        </w:rPr>
        <w:t xml:space="preserve"> </w:t>
      </w:r>
      <w:r w:rsidR="00754413" w:rsidRPr="00F71827">
        <w:rPr>
          <w:sz w:val="22"/>
          <w:szCs w:val="22"/>
        </w:rPr>
        <w:t xml:space="preserve">La croissance organique des ventes s’établit à </w:t>
      </w:r>
      <w:r w:rsidR="007423CF" w:rsidRPr="00F71827">
        <w:rPr>
          <w:sz w:val="22"/>
          <w:szCs w:val="22"/>
        </w:rPr>
        <w:t>17</w:t>
      </w:r>
      <w:r w:rsidR="004F434F" w:rsidRPr="00F71827">
        <w:rPr>
          <w:sz w:val="22"/>
          <w:szCs w:val="22"/>
        </w:rPr>
        <w:t xml:space="preserve"> %</w:t>
      </w:r>
      <w:r w:rsidR="000F2773" w:rsidRPr="00F71827">
        <w:rPr>
          <w:sz w:val="22"/>
          <w:szCs w:val="22"/>
        </w:rPr>
        <w:t xml:space="preserve"> par rapport à la même période de 2022</w:t>
      </w:r>
      <w:r w:rsidR="00136C85" w:rsidRPr="00F71827">
        <w:rPr>
          <w:sz w:val="22"/>
          <w:szCs w:val="22"/>
        </w:rPr>
        <w:t xml:space="preserve">. </w:t>
      </w:r>
      <w:r w:rsidR="00234E6F" w:rsidRPr="00F71827">
        <w:rPr>
          <w:sz w:val="22"/>
          <w:szCs w:val="22"/>
        </w:rPr>
        <w:t>Toutes les activités réalisent une croissance organique à deux chiffres de leurs ventes sur le semestre</w:t>
      </w:r>
      <w:r w:rsidR="007423CF" w:rsidRPr="00F71827">
        <w:rPr>
          <w:sz w:val="22"/>
          <w:szCs w:val="22"/>
        </w:rPr>
        <w:t xml:space="preserve"> à l’exception des Vins et Spiritueux </w:t>
      </w:r>
      <w:r w:rsidR="004757DC" w:rsidRPr="00F71827">
        <w:rPr>
          <w:sz w:val="22"/>
          <w:szCs w:val="22"/>
        </w:rPr>
        <w:t>qui f</w:t>
      </w:r>
      <w:r w:rsidR="006157E1" w:rsidRPr="00F71827">
        <w:rPr>
          <w:sz w:val="22"/>
          <w:szCs w:val="22"/>
        </w:rPr>
        <w:t xml:space="preserve">ont </w:t>
      </w:r>
      <w:r w:rsidR="007423CF" w:rsidRPr="00F71827">
        <w:rPr>
          <w:sz w:val="22"/>
          <w:szCs w:val="22"/>
        </w:rPr>
        <w:t xml:space="preserve">face à une base </w:t>
      </w:r>
      <w:r w:rsidR="00A82A55" w:rsidRPr="00F71827">
        <w:rPr>
          <w:sz w:val="22"/>
          <w:szCs w:val="22"/>
        </w:rPr>
        <w:t xml:space="preserve">de </w:t>
      </w:r>
      <w:r w:rsidR="007423CF" w:rsidRPr="00F71827">
        <w:rPr>
          <w:sz w:val="22"/>
          <w:szCs w:val="22"/>
        </w:rPr>
        <w:t>comparaison particulièrement élevée</w:t>
      </w:r>
      <w:r w:rsidR="006157E1" w:rsidRPr="00F71827">
        <w:rPr>
          <w:sz w:val="22"/>
          <w:szCs w:val="22"/>
        </w:rPr>
        <w:t>.</w:t>
      </w:r>
      <w:r w:rsidR="00234E6F" w:rsidRPr="00F71827">
        <w:rPr>
          <w:sz w:val="22"/>
          <w:szCs w:val="22"/>
        </w:rPr>
        <w:t xml:space="preserve"> </w:t>
      </w:r>
    </w:p>
    <w:p w14:paraId="6AC819C7" w14:textId="77777777" w:rsidR="00136C85" w:rsidRPr="00F71827" w:rsidRDefault="00136C85" w:rsidP="00C70197">
      <w:pPr>
        <w:pStyle w:val="Corpsdetexte"/>
        <w:rPr>
          <w:sz w:val="22"/>
          <w:szCs w:val="22"/>
        </w:rPr>
      </w:pPr>
      <w:r w:rsidRPr="00F71827">
        <w:rPr>
          <w:sz w:val="22"/>
          <w:szCs w:val="22"/>
        </w:rPr>
        <w:t>Au second trimestre, l</w:t>
      </w:r>
      <w:r w:rsidR="00A82A55" w:rsidRPr="00F71827">
        <w:rPr>
          <w:sz w:val="22"/>
          <w:szCs w:val="22"/>
        </w:rPr>
        <w:t>a croissance organique d</w:t>
      </w:r>
      <w:r w:rsidRPr="00F71827">
        <w:rPr>
          <w:sz w:val="22"/>
          <w:szCs w:val="22"/>
        </w:rPr>
        <w:t xml:space="preserve">es ventes </w:t>
      </w:r>
      <w:r w:rsidR="00A82A55" w:rsidRPr="00F71827">
        <w:rPr>
          <w:sz w:val="22"/>
          <w:szCs w:val="22"/>
        </w:rPr>
        <w:t>est de 17</w:t>
      </w:r>
      <w:r w:rsidRPr="00F71827">
        <w:rPr>
          <w:sz w:val="22"/>
          <w:szCs w:val="22"/>
        </w:rPr>
        <w:t xml:space="preserve"> %</w:t>
      </w:r>
      <w:r w:rsidR="00F966A8" w:rsidRPr="00F71827">
        <w:rPr>
          <w:sz w:val="22"/>
          <w:szCs w:val="22"/>
        </w:rPr>
        <w:t>, e</w:t>
      </w:r>
      <w:r w:rsidR="00F87490" w:rsidRPr="00F71827">
        <w:rPr>
          <w:sz w:val="22"/>
          <w:szCs w:val="22"/>
        </w:rPr>
        <w:t>n</w:t>
      </w:r>
      <w:r w:rsidR="00F966A8" w:rsidRPr="00F71827">
        <w:rPr>
          <w:sz w:val="22"/>
          <w:szCs w:val="22"/>
        </w:rPr>
        <w:t xml:space="preserve"> ligne avec les tendances d</w:t>
      </w:r>
      <w:r w:rsidR="00F87490" w:rsidRPr="00F71827">
        <w:rPr>
          <w:sz w:val="22"/>
          <w:szCs w:val="22"/>
        </w:rPr>
        <w:t>u premier trimestre</w:t>
      </w:r>
      <w:r w:rsidR="00A82A55" w:rsidRPr="00F71827">
        <w:rPr>
          <w:sz w:val="22"/>
          <w:szCs w:val="22"/>
        </w:rPr>
        <w:t>.</w:t>
      </w:r>
      <w:r w:rsidR="00F966A8" w:rsidRPr="00F71827">
        <w:rPr>
          <w:sz w:val="22"/>
          <w:szCs w:val="22"/>
        </w:rPr>
        <w:t xml:space="preserve"> </w:t>
      </w:r>
    </w:p>
    <w:p w14:paraId="1991DBA9" w14:textId="77777777" w:rsidR="00475830" w:rsidRPr="00F71827" w:rsidRDefault="00475830" w:rsidP="004141CC">
      <w:pPr>
        <w:pStyle w:val="Corpsdetexte"/>
        <w:rPr>
          <w:sz w:val="22"/>
          <w:szCs w:val="22"/>
        </w:rPr>
      </w:pPr>
    </w:p>
    <w:p w14:paraId="0BA49952" w14:textId="77777777" w:rsidR="00570C07" w:rsidRPr="00F71827" w:rsidRDefault="00984EDE" w:rsidP="007A30B7">
      <w:pPr>
        <w:jc w:val="both"/>
        <w:rPr>
          <w:sz w:val="22"/>
          <w:szCs w:val="22"/>
          <w:lang w:val="fr-FR"/>
        </w:rPr>
      </w:pPr>
      <w:r w:rsidRPr="00F71827">
        <w:rPr>
          <w:sz w:val="22"/>
          <w:szCs w:val="22"/>
          <w:lang w:val="fr-FR"/>
        </w:rPr>
        <w:t>Le résultat opérationnel courant du premier semestre 20</w:t>
      </w:r>
      <w:r w:rsidR="00B90013" w:rsidRPr="00F71827">
        <w:rPr>
          <w:sz w:val="22"/>
          <w:szCs w:val="22"/>
          <w:lang w:val="fr-FR"/>
        </w:rPr>
        <w:t>2</w:t>
      </w:r>
      <w:r w:rsidR="00906D9C" w:rsidRPr="00F71827">
        <w:rPr>
          <w:sz w:val="22"/>
          <w:szCs w:val="22"/>
          <w:lang w:val="fr-FR"/>
        </w:rPr>
        <w:t>3</w:t>
      </w:r>
      <w:r w:rsidR="001263FC" w:rsidRPr="00F71827">
        <w:rPr>
          <w:sz w:val="22"/>
          <w:szCs w:val="22"/>
          <w:lang w:val="fr-FR"/>
        </w:rPr>
        <w:t xml:space="preserve"> </w:t>
      </w:r>
      <w:r w:rsidRPr="00F71827">
        <w:rPr>
          <w:sz w:val="22"/>
          <w:szCs w:val="22"/>
          <w:lang w:val="fr-FR"/>
        </w:rPr>
        <w:t>s’é</w:t>
      </w:r>
      <w:r w:rsidR="00174DBF" w:rsidRPr="00F71827">
        <w:rPr>
          <w:sz w:val="22"/>
          <w:szCs w:val="22"/>
          <w:lang w:val="fr-FR"/>
        </w:rPr>
        <w:t>tablit</w:t>
      </w:r>
      <w:r w:rsidRPr="00F71827">
        <w:rPr>
          <w:sz w:val="22"/>
          <w:szCs w:val="22"/>
          <w:lang w:val="fr-FR"/>
        </w:rPr>
        <w:t xml:space="preserve"> à </w:t>
      </w:r>
      <w:r w:rsidR="007D5B3E" w:rsidRPr="00F71827">
        <w:rPr>
          <w:sz w:val="22"/>
          <w:szCs w:val="22"/>
          <w:lang w:val="fr-FR"/>
        </w:rPr>
        <w:t>11 574</w:t>
      </w:r>
      <w:r w:rsidR="00BD13A4" w:rsidRPr="00F71827">
        <w:rPr>
          <w:sz w:val="22"/>
          <w:szCs w:val="22"/>
          <w:lang w:val="fr-FR"/>
        </w:rPr>
        <w:t xml:space="preserve"> </w:t>
      </w:r>
      <w:r w:rsidRPr="00F71827">
        <w:rPr>
          <w:sz w:val="22"/>
          <w:szCs w:val="22"/>
          <w:lang w:val="fr-FR"/>
        </w:rPr>
        <w:t>milli</w:t>
      </w:r>
      <w:r w:rsidR="00233B7E" w:rsidRPr="00F71827">
        <w:rPr>
          <w:sz w:val="22"/>
          <w:szCs w:val="22"/>
          <w:lang w:val="fr-FR"/>
        </w:rPr>
        <w:t>ons</w:t>
      </w:r>
      <w:r w:rsidRPr="00F71827">
        <w:rPr>
          <w:sz w:val="22"/>
          <w:szCs w:val="22"/>
          <w:lang w:val="fr-FR"/>
        </w:rPr>
        <w:t xml:space="preserve"> d’euros</w:t>
      </w:r>
      <w:r w:rsidR="00475830" w:rsidRPr="00F71827">
        <w:rPr>
          <w:sz w:val="22"/>
          <w:szCs w:val="22"/>
          <w:lang w:val="fr-FR"/>
        </w:rPr>
        <w:t xml:space="preserve">, en </w:t>
      </w:r>
      <w:r w:rsidR="00802593" w:rsidRPr="00F71827">
        <w:rPr>
          <w:sz w:val="22"/>
          <w:szCs w:val="22"/>
          <w:lang w:val="fr-FR"/>
        </w:rPr>
        <w:t xml:space="preserve">hausse </w:t>
      </w:r>
      <w:r w:rsidR="00475830" w:rsidRPr="00F71827">
        <w:rPr>
          <w:sz w:val="22"/>
          <w:szCs w:val="22"/>
          <w:lang w:val="fr-FR"/>
        </w:rPr>
        <w:t xml:space="preserve">de </w:t>
      </w:r>
      <w:r w:rsidR="007D5B3E" w:rsidRPr="00F71827">
        <w:rPr>
          <w:sz w:val="22"/>
          <w:szCs w:val="22"/>
          <w:lang w:val="fr-FR"/>
        </w:rPr>
        <w:t>13</w:t>
      </w:r>
      <w:r w:rsidR="00475830" w:rsidRPr="00F71827">
        <w:rPr>
          <w:sz w:val="22"/>
          <w:szCs w:val="22"/>
          <w:lang w:val="fr-FR"/>
        </w:rPr>
        <w:t xml:space="preserve"> %. La ma</w:t>
      </w:r>
      <w:r w:rsidR="00563C1F" w:rsidRPr="00F71827">
        <w:rPr>
          <w:sz w:val="22"/>
          <w:szCs w:val="22"/>
          <w:lang w:val="fr-FR"/>
        </w:rPr>
        <w:t>rge opérationnelle courante</w:t>
      </w:r>
      <w:r w:rsidR="00BD13A4" w:rsidRPr="00F71827">
        <w:rPr>
          <w:sz w:val="22"/>
          <w:szCs w:val="22"/>
          <w:lang w:val="fr-FR"/>
        </w:rPr>
        <w:t xml:space="preserve"> </w:t>
      </w:r>
      <w:r w:rsidR="00475830" w:rsidRPr="00F71827">
        <w:rPr>
          <w:sz w:val="22"/>
          <w:szCs w:val="22"/>
          <w:lang w:val="fr-FR"/>
        </w:rPr>
        <w:t xml:space="preserve">ressort à </w:t>
      </w:r>
      <w:r w:rsidR="007D5B3E" w:rsidRPr="00F71827">
        <w:rPr>
          <w:sz w:val="22"/>
          <w:szCs w:val="22"/>
          <w:lang w:val="fr-FR"/>
        </w:rPr>
        <w:t>27,4</w:t>
      </w:r>
      <w:r w:rsidR="00475830" w:rsidRPr="00F71827">
        <w:rPr>
          <w:sz w:val="22"/>
          <w:szCs w:val="22"/>
          <w:lang w:val="fr-FR"/>
        </w:rPr>
        <w:t xml:space="preserve"> </w:t>
      </w:r>
      <w:r w:rsidR="00563C1F" w:rsidRPr="00F71827">
        <w:rPr>
          <w:sz w:val="22"/>
          <w:szCs w:val="22"/>
          <w:lang w:val="fr-FR"/>
        </w:rPr>
        <w:t>%</w:t>
      </w:r>
      <w:r w:rsidR="003F1CCA" w:rsidRPr="00F71827">
        <w:rPr>
          <w:sz w:val="22"/>
          <w:szCs w:val="22"/>
          <w:lang w:val="fr-FR"/>
        </w:rPr>
        <w:t xml:space="preserve"> des ventes</w:t>
      </w:r>
      <w:r w:rsidR="00C547A1" w:rsidRPr="00F71827">
        <w:rPr>
          <w:sz w:val="22"/>
          <w:szCs w:val="22"/>
          <w:lang w:val="fr-FR"/>
        </w:rPr>
        <w:t xml:space="preserve">. </w:t>
      </w:r>
      <w:r w:rsidR="00DC5ED8" w:rsidRPr="00F71827">
        <w:rPr>
          <w:sz w:val="22"/>
          <w:szCs w:val="22"/>
          <w:lang w:val="fr-FR"/>
        </w:rPr>
        <w:t>L</w:t>
      </w:r>
      <w:r w:rsidRPr="00F71827">
        <w:rPr>
          <w:sz w:val="22"/>
          <w:szCs w:val="22"/>
          <w:lang w:val="fr-FR"/>
        </w:rPr>
        <w:t xml:space="preserve">e résultat net part du Groupe s’élève </w:t>
      </w:r>
      <w:r w:rsidR="0054373D" w:rsidRPr="00F71827">
        <w:rPr>
          <w:sz w:val="22"/>
          <w:szCs w:val="22"/>
          <w:lang w:val="fr-FR"/>
        </w:rPr>
        <w:t xml:space="preserve">pour sa part </w:t>
      </w:r>
      <w:r w:rsidRPr="00F71827">
        <w:rPr>
          <w:sz w:val="22"/>
          <w:szCs w:val="22"/>
          <w:lang w:val="fr-FR"/>
        </w:rPr>
        <w:t xml:space="preserve">à </w:t>
      </w:r>
      <w:r w:rsidR="00F50330" w:rsidRPr="00F71827">
        <w:rPr>
          <w:sz w:val="22"/>
          <w:szCs w:val="22"/>
          <w:lang w:val="fr-FR"/>
        </w:rPr>
        <w:t xml:space="preserve">8 481 </w:t>
      </w:r>
      <w:r w:rsidR="00B90013" w:rsidRPr="00F71827">
        <w:rPr>
          <w:sz w:val="22"/>
          <w:szCs w:val="22"/>
          <w:lang w:val="fr-FR"/>
        </w:rPr>
        <w:t>millio</w:t>
      </w:r>
      <w:r w:rsidRPr="00F71827">
        <w:rPr>
          <w:sz w:val="22"/>
          <w:szCs w:val="22"/>
          <w:lang w:val="fr-FR"/>
        </w:rPr>
        <w:t>ns d’euros</w:t>
      </w:r>
      <w:r w:rsidR="007F6797" w:rsidRPr="00F71827">
        <w:rPr>
          <w:sz w:val="22"/>
          <w:szCs w:val="22"/>
          <w:lang w:val="fr-FR"/>
        </w:rPr>
        <w:t xml:space="preserve">, en hausse de </w:t>
      </w:r>
      <w:r w:rsidR="00F50330" w:rsidRPr="00F71827">
        <w:rPr>
          <w:sz w:val="22"/>
          <w:szCs w:val="22"/>
          <w:lang w:val="fr-FR"/>
        </w:rPr>
        <w:t>30</w:t>
      </w:r>
      <w:r w:rsidR="007F6797" w:rsidRPr="00F71827">
        <w:rPr>
          <w:sz w:val="22"/>
          <w:szCs w:val="22"/>
          <w:lang w:val="fr-FR"/>
        </w:rPr>
        <w:t xml:space="preserve"> %</w:t>
      </w:r>
      <w:r w:rsidR="00A6644C" w:rsidRPr="00F71827">
        <w:rPr>
          <w:sz w:val="22"/>
          <w:szCs w:val="22"/>
          <w:lang w:val="fr-FR"/>
        </w:rPr>
        <w:t xml:space="preserve">. </w:t>
      </w:r>
    </w:p>
    <w:p w14:paraId="449A97BC" w14:textId="77777777" w:rsidR="007234BF" w:rsidRPr="00F71827" w:rsidRDefault="007234BF" w:rsidP="00C140BD">
      <w:pPr>
        <w:jc w:val="both"/>
        <w:rPr>
          <w:sz w:val="22"/>
          <w:szCs w:val="22"/>
          <w:lang w:val="fr-FR"/>
        </w:rPr>
      </w:pPr>
    </w:p>
    <w:p w14:paraId="79BBE2EE" w14:textId="77777777" w:rsidR="003D2F9B" w:rsidRPr="00F71827" w:rsidRDefault="0076351E" w:rsidP="00C140BD">
      <w:pPr>
        <w:pStyle w:val="Corpsdetexte"/>
        <w:rPr>
          <w:sz w:val="22"/>
          <w:szCs w:val="22"/>
        </w:rPr>
      </w:pPr>
      <w:bookmarkStart w:id="0" w:name="_Hlk77837868"/>
      <w:r w:rsidRPr="00F71827">
        <w:rPr>
          <w:sz w:val="22"/>
          <w:szCs w:val="22"/>
        </w:rPr>
        <w:t xml:space="preserve">M. Bernard Arnault, </w:t>
      </w:r>
      <w:r w:rsidR="00984EDE" w:rsidRPr="00F71827">
        <w:rPr>
          <w:sz w:val="22"/>
          <w:szCs w:val="22"/>
        </w:rPr>
        <w:t xml:space="preserve">Président-Directeur Général de LVMH, a déclaré : </w:t>
      </w:r>
      <w:r w:rsidR="00F96E25" w:rsidRPr="00F71827">
        <w:rPr>
          <w:sz w:val="22"/>
          <w:szCs w:val="22"/>
        </w:rPr>
        <w:t>«</w:t>
      </w:r>
      <w:r w:rsidR="00F53CF4" w:rsidRPr="00F71827">
        <w:rPr>
          <w:sz w:val="22"/>
          <w:szCs w:val="22"/>
        </w:rPr>
        <w:t xml:space="preserve"> LVMH réalise une excellente performance </w:t>
      </w:r>
      <w:r w:rsidR="0087512A" w:rsidRPr="00F71827">
        <w:rPr>
          <w:sz w:val="22"/>
          <w:szCs w:val="22"/>
        </w:rPr>
        <w:t>au cours d’</w:t>
      </w:r>
      <w:r w:rsidR="00F53CF4" w:rsidRPr="00F71827">
        <w:rPr>
          <w:sz w:val="22"/>
          <w:szCs w:val="22"/>
        </w:rPr>
        <w:t>un semestre encore marqué par</w:t>
      </w:r>
      <w:r w:rsidR="004712CA" w:rsidRPr="00F71827">
        <w:rPr>
          <w:sz w:val="22"/>
          <w:szCs w:val="22"/>
        </w:rPr>
        <w:t xml:space="preserve"> </w:t>
      </w:r>
      <w:r w:rsidR="006D3CB1" w:rsidRPr="00F71827">
        <w:rPr>
          <w:sz w:val="22"/>
          <w:szCs w:val="22"/>
        </w:rPr>
        <w:t xml:space="preserve">des incertitudes économiques et géopolitiques. </w:t>
      </w:r>
      <w:r w:rsidR="0087512A" w:rsidRPr="00F71827">
        <w:rPr>
          <w:sz w:val="22"/>
          <w:szCs w:val="22"/>
        </w:rPr>
        <w:t xml:space="preserve">Nos </w:t>
      </w:r>
      <w:r w:rsidR="006D3CB1" w:rsidRPr="00F71827">
        <w:rPr>
          <w:sz w:val="22"/>
          <w:szCs w:val="22"/>
        </w:rPr>
        <w:t xml:space="preserve">Maisons </w:t>
      </w:r>
      <w:r w:rsidR="0087512A" w:rsidRPr="00F71827">
        <w:rPr>
          <w:sz w:val="22"/>
          <w:szCs w:val="22"/>
        </w:rPr>
        <w:t>o</w:t>
      </w:r>
      <w:r w:rsidR="006D3CB1" w:rsidRPr="00F71827">
        <w:rPr>
          <w:sz w:val="22"/>
          <w:szCs w:val="22"/>
        </w:rPr>
        <w:t>nt continué de faire</w:t>
      </w:r>
      <w:r w:rsidR="00C631D2" w:rsidRPr="00F71827">
        <w:rPr>
          <w:sz w:val="22"/>
          <w:szCs w:val="22"/>
        </w:rPr>
        <w:t xml:space="preserve"> rêver grâce à leur </w:t>
      </w:r>
      <w:r w:rsidR="00361608" w:rsidRPr="00F71827">
        <w:rPr>
          <w:sz w:val="22"/>
          <w:szCs w:val="22"/>
        </w:rPr>
        <w:t xml:space="preserve">forte </w:t>
      </w:r>
      <w:r w:rsidR="006D3CB1" w:rsidRPr="00F71827">
        <w:rPr>
          <w:sz w:val="22"/>
          <w:szCs w:val="22"/>
        </w:rPr>
        <w:t xml:space="preserve">dynamique </w:t>
      </w:r>
      <w:r w:rsidR="00C631D2" w:rsidRPr="00F71827">
        <w:rPr>
          <w:sz w:val="22"/>
          <w:szCs w:val="22"/>
        </w:rPr>
        <w:t>c</w:t>
      </w:r>
      <w:r w:rsidR="00A47E61" w:rsidRPr="00F71827">
        <w:rPr>
          <w:sz w:val="22"/>
          <w:szCs w:val="22"/>
        </w:rPr>
        <w:t xml:space="preserve">réative </w:t>
      </w:r>
      <w:r w:rsidR="00EA6124" w:rsidRPr="00F71827">
        <w:rPr>
          <w:sz w:val="22"/>
          <w:szCs w:val="22"/>
        </w:rPr>
        <w:t xml:space="preserve">et </w:t>
      </w:r>
      <w:r w:rsidR="00F60B69" w:rsidRPr="00F71827">
        <w:rPr>
          <w:sz w:val="22"/>
          <w:szCs w:val="22"/>
        </w:rPr>
        <w:t xml:space="preserve">à </w:t>
      </w:r>
      <w:r w:rsidR="00EA6124" w:rsidRPr="00F71827">
        <w:rPr>
          <w:sz w:val="22"/>
          <w:szCs w:val="22"/>
        </w:rPr>
        <w:t xml:space="preserve">l’excellence de leur distribution </w:t>
      </w:r>
      <w:r w:rsidR="0011595B" w:rsidRPr="00F71827">
        <w:rPr>
          <w:sz w:val="22"/>
          <w:szCs w:val="22"/>
        </w:rPr>
        <w:t>comme en témoigne l</w:t>
      </w:r>
      <w:r w:rsidR="00711D95" w:rsidRPr="00F71827">
        <w:rPr>
          <w:sz w:val="22"/>
          <w:szCs w:val="22"/>
        </w:rPr>
        <w:t>’</w:t>
      </w:r>
      <w:r w:rsidR="006D3CB1" w:rsidRPr="00F71827">
        <w:rPr>
          <w:sz w:val="22"/>
          <w:szCs w:val="22"/>
        </w:rPr>
        <w:t xml:space="preserve">enthousiasme autour du premier défilé de </w:t>
      </w:r>
      <w:proofErr w:type="spellStart"/>
      <w:r w:rsidR="006D3CB1" w:rsidRPr="00F71827">
        <w:rPr>
          <w:sz w:val="22"/>
          <w:szCs w:val="22"/>
        </w:rPr>
        <w:t>Pharrell</w:t>
      </w:r>
      <w:proofErr w:type="spellEnd"/>
      <w:r w:rsidR="006D3CB1" w:rsidRPr="00F71827">
        <w:rPr>
          <w:sz w:val="22"/>
          <w:szCs w:val="22"/>
        </w:rPr>
        <w:t xml:space="preserve"> Williams pour Louis Vuitton ou encore de </w:t>
      </w:r>
      <w:r w:rsidR="00D56AA0" w:rsidRPr="00F71827">
        <w:rPr>
          <w:sz w:val="22"/>
          <w:szCs w:val="22"/>
        </w:rPr>
        <w:t>la réouverture d</w:t>
      </w:r>
      <w:r w:rsidR="00322F9F" w:rsidRPr="00F71827">
        <w:rPr>
          <w:sz w:val="22"/>
          <w:szCs w:val="22"/>
        </w:rPr>
        <w:t>u</w:t>
      </w:r>
      <w:r w:rsidR="00D56AA0" w:rsidRPr="00F71827">
        <w:rPr>
          <w:sz w:val="22"/>
          <w:szCs w:val="22"/>
        </w:rPr>
        <w:t xml:space="preserve"> « Landmark » new</w:t>
      </w:r>
      <w:r w:rsidR="00623408" w:rsidRPr="00F71827">
        <w:rPr>
          <w:sz w:val="22"/>
          <w:szCs w:val="22"/>
        </w:rPr>
        <w:t>-</w:t>
      </w:r>
      <w:r w:rsidR="00D56AA0" w:rsidRPr="00F71827">
        <w:rPr>
          <w:sz w:val="22"/>
          <w:szCs w:val="22"/>
        </w:rPr>
        <w:t xml:space="preserve">yorkais de </w:t>
      </w:r>
      <w:r w:rsidR="006D3CB1" w:rsidRPr="00F71827">
        <w:rPr>
          <w:sz w:val="22"/>
          <w:szCs w:val="22"/>
        </w:rPr>
        <w:t xml:space="preserve">Tiffany &amp; Co. </w:t>
      </w:r>
      <w:r w:rsidR="006562FD" w:rsidRPr="00F71827">
        <w:rPr>
          <w:sz w:val="22"/>
          <w:szCs w:val="22"/>
        </w:rPr>
        <w:t>Les avancées liées à nos engagements sur le plan environnemental, social et sociétal se poursuivent avec notamment l’annonce récente d’un plan ambitieux de sobriété hydrique afin de réduire de 30% notre empreinte globale de consommation d’eau d’ici 2030.</w:t>
      </w:r>
      <w:r w:rsidR="00221381" w:rsidRPr="00F71827">
        <w:rPr>
          <w:sz w:val="22"/>
          <w:szCs w:val="22"/>
        </w:rPr>
        <w:t xml:space="preserve"> </w:t>
      </w:r>
      <w:r w:rsidR="00817367" w:rsidRPr="00F71827">
        <w:rPr>
          <w:sz w:val="22"/>
          <w:szCs w:val="22"/>
        </w:rPr>
        <w:t xml:space="preserve">La </w:t>
      </w:r>
      <w:r w:rsidR="00973475" w:rsidRPr="00F71827">
        <w:rPr>
          <w:sz w:val="22"/>
          <w:szCs w:val="22"/>
        </w:rPr>
        <w:t>désirabilité</w:t>
      </w:r>
      <w:r w:rsidR="00817367" w:rsidRPr="00F71827">
        <w:rPr>
          <w:sz w:val="22"/>
          <w:szCs w:val="22"/>
        </w:rPr>
        <w:t xml:space="preserve"> de nos </w:t>
      </w:r>
      <w:r w:rsidR="00973475" w:rsidRPr="00F71827">
        <w:rPr>
          <w:sz w:val="22"/>
          <w:szCs w:val="22"/>
        </w:rPr>
        <w:t>marques</w:t>
      </w:r>
      <w:r w:rsidR="00817367" w:rsidRPr="00F71827">
        <w:rPr>
          <w:sz w:val="22"/>
          <w:szCs w:val="22"/>
        </w:rPr>
        <w:t xml:space="preserve"> nous fait </w:t>
      </w:r>
      <w:r w:rsidR="00080B91" w:rsidRPr="00F71827">
        <w:rPr>
          <w:sz w:val="22"/>
          <w:szCs w:val="22"/>
        </w:rPr>
        <w:t>abord</w:t>
      </w:r>
      <w:r w:rsidR="00817367" w:rsidRPr="00F71827">
        <w:rPr>
          <w:sz w:val="22"/>
          <w:szCs w:val="22"/>
        </w:rPr>
        <w:t>er</w:t>
      </w:r>
      <w:r w:rsidR="00080B91" w:rsidRPr="00F71827">
        <w:rPr>
          <w:sz w:val="22"/>
          <w:szCs w:val="22"/>
        </w:rPr>
        <w:t xml:space="preserve"> la seconde partie de l’année avec confiance</w:t>
      </w:r>
      <w:r w:rsidR="00A47E61" w:rsidRPr="00F71827">
        <w:rPr>
          <w:sz w:val="22"/>
          <w:szCs w:val="22"/>
        </w:rPr>
        <w:t xml:space="preserve"> et optimisme</w:t>
      </w:r>
      <w:r w:rsidR="0087512A" w:rsidRPr="00F71827">
        <w:rPr>
          <w:sz w:val="22"/>
          <w:szCs w:val="22"/>
        </w:rPr>
        <w:t xml:space="preserve"> </w:t>
      </w:r>
      <w:r w:rsidR="00080B91" w:rsidRPr="00F71827">
        <w:rPr>
          <w:sz w:val="22"/>
          <w:szCs w:val="22"/>
        </w:rPr>
        <w:t>mais nous resterons vigilants dans le contexte actuel et comptons sur l’agilité et le talent de nos équipes pour renforcer encore en 2023 notre avance sur le marché mondial du luxe.</w:t>
      </w:r>
      <w:r w:rsidR="00A32773" w:rsidRPr="00F71827">
        <w:rPr>
          <w:sz w:val="22"/>
          <w:szCs w:val="22"/>
        </w:rPr>
        <w:t xml:space="preserve"> </w:t>
      </w:r>
      <w:r w:rsidR="007F2E6C" w:rsidRPr="00F71827">
        <w:rPr>
          <w:sz w:val="22"/>
          <w:szCs w:val="22"/>
        </w:rPr>
        <w:t>»</w:t>
      </w:r>
      <w:bookmarkEnd w:id="0"/>
    </w:p>
    <w:p w14:paraId="37FDCA49" w14:textId="77777777" w:rsidR="0011595B" w:rsidRPr="00F71827" w:rsidRDefault="0011595B" w:rsidP="00C140BD">
      <w:pPr>
        <w:pStyle w:val="Corpsdetexte"/>
        <w:rPr>
          <w:sz w:val="22"/>
          <w:szCs w:val="22"/>
        </w:rPr>
      </w:pPr>
    </w:p>
    <w:p w14:paraId="1E4615E2" w14:textId="77777777" w:rsidR="00C140BD" w:rsidRPr="000E2767" w:rsidRDefault="00C140BD" w:rsidP="00C140BD">
      <w:pPr>
        <w:pStyle w:val="Corpsdetexte2"/>
        <w:ind w:right="-426"/>
        <w:rPr>
          <w:sz w:val="22"/>
          <w:szCs w:val="22"/>
        </w:rPr>
      </w:pPr>
      <w:r w:rsidRPr="000E2767">
        <w:rPr>
          <w:sz w:val="22"/>
          <w:szCs w:val="22"/>
        </w:rPr>
        <w:t>Le premier semestre 20</w:t>
      </w:r>
      <w:r w:rsidR="00B90013" w:rsidRPr="000E2767">
        <w:rPr>
          <w:sz w:val="22"/>
          <w:szCs w:val="22"/>
        </w:rPr>
        <w:t>2</w:t>
      </w:r>
      <w:r w:rsidR="00906D9C" w:rsidRPr="000E2767">
        <w:rPr>
          <w:sz w:val="22"/>
          <w:szCs w:val="22"/>
        </w:rPr>
        <w:t>3</w:t>
      </w:r>
      <w:r w:rsidR="00252F68" w:rsidRPr="000E2767">
        <w:rPr>
          <w:sz w:val="22"/>
          <w:szCs w:val="22"/>
        </w:rPr>
        <w:t xml:space="preserve"> a été marqué par </w:t>
      </w:r>
      <w:r w:rsidRPr="000E2767">
        <w:rPr>
          <w:sz w:val="22"/>
          <w:szCs w:val="22"/>
        </w:rPr>
        <w:t xml:space="preserve">: </w:t>
      </w:r>
    </w:p>
    <w:p w14:paraId="01C23DE5" w14:textId="77777777" w:rsidR="00745EE2" w:rsidRPr="000E2767" w:rsidRDefault="00CB452E" w:rsidP="003002E6">
      <w:pPr>
        <w:pStyle w:val="Corpsdetexte2"/>
        <w:numPr>
          <w:ilvl w:val="0"/>
          <w:numId w:val="5"/>
        </w:numPr>
        <w:ind w:right="-2"/>
        <w:rPr>
          <w:sz w:val="22"/>
          <w:szCs w:val="22"/>
        </w:rPr>
      </w:pPr>
      <w:r w:rsidRPr="000E2767">
        <w:rPr>
          <w:sz w:val="22"/>
          <w:szCs w:val="22"/>
        </w:rPr>
        <w:t>Un</w:t>
      </w:r>
      <w:r w:rsidR="00745EE2" w:rsidRPr="000E2767">
        <w:rPr>
          <w:sz w:val="22"/>
          <w:szCs w:val="22"/>
        </w:rPr>
        <w:t xml:space="preserve"> excellent semestre dans un environnement </w:t>
      </w:r>
      <w:r w:rsidR="00973475" w:rsidRPr="000E2767">
        <w:rPr>
          <w:sz w:val="22"/>
          <w:szCs w:val="22"/>
        </w:rPr>
        <w:t>po</w:t>
      </w:r>
      <w:r w:rsidR="00322F9F" w:rsidRPr="000E2767">
        <w:rPr>
          <w:sz w:val="22"/>
          <w:szCs w:val="22"/>
        </w:rPr>
        <w:t>u</w:t>
      </w:r>
      <w:r w:rsidR="00973475" w:rsidRPr="000E2767">
        <w:rPr>
          <w:sz w:val="22"/>
          <w:szCs w:val="22"/>
        </w:rPr>
        <w:t>rtant</w:t>
      </w:r>
      <w:r w:rsidR="00460D75" w:rsidRPr="000E2767">
        <w:rPr>
          <w:sz w:val="22"/>
          <w:szCs w:val="22"/>
        </w:rPr>
        <w:t xml:space="preserve"> perturbé</w:t>
      </w:r>
      <w:r w:rsidR="00745EE2" w:rsidRPr="000E2767">
        <w:rPr>
          <w:sz w:val="22"/>
          <w:szCs w:val="22"/>
        </w:rPr>
        <w:t>,</w:t>
      </w:r>
    </w:p>
    <w:p w14:paraId="13CD35EA" w14:textId="77777777" w:rsidR="007D5B3E" w:rsidRPr="000E2767" w:rsidRDefault="007D5B3E" w:rsidP="007D5B3E">
      <w:pPr>
        <w:numPr>
          <w:ilvl w:val="0"/>
          <w:numId w:val="5"/>
        </w:numPr>
        <w:rPr>
          <w:sz w:val="22"/>
          <w:szCs w:val="22"/>
          <w:lang w:val="fr-FR"/>
        </w:rPr>
      </w:pPr>
      <w:r w:rsidRPr="000E2767">
        <w:rPr>
          <w:sz w:val="22"/>
          <w:szCs w:val="22"/>
          <w:lang w:val="fr-FR"/>
        </w:rPr>
        <w:t>Une croissance significative des ventes de toutes les activités à l’exception des Vins et Spiritueux</w:t>
      </w:r>
      <w:r w:rsidR="00817367" w:rsidRPr="000E2767">
        <w:rPr>
          <w:sz w:val="22"/>
          <w:szCs w:val="22"/>
          <w:lang w:val="fr-FR"/>
        </w:rPr>
        <w:t xml:space="preserve"> sur </w:t>
      </w:r>
      <w:r w:rsidR="00630CD6" w:rsidRPr="000E2767">
        <w:rPr>
          <w:sz w:val="22"/>
          <w:szCs w:val="22"/>
          <w:lang w:val="fr-FR"/>
        </w:rPr>
        <w:t>une</w:t>
      </w:r>
      <w:r w:rsidR="00817367" w:rsidRPr="000E2767">
        <w:rPr>
          <w:sz w:val="22"/>
          <w:szCs w:val="22"/>
          <w:lang w:val="fr-FR"/>
        </w:rPr>
        <w:t xml:space="preserve"> base de comparaison élevée</w:t>
      </w:r>
      <w:r w:rsidRPr="000E2767">
        <w:rPr>
          <w:sz w:val="22"/>
          <w:szCs w:val="22"/>
          <w:lang w:val="fr-FR"/>
        </w:rPr>
        <w:t xml:space="preserve">, </w:t>
      </w:r>
    </w:p>
    <w:p w14:paraId="4299FC92" w14:textId="77777777" w:rsidR="00CB452E" w:rsidRPr="000E2767" w:rsidRDefault="00CB452E" w:rsidP="003002E6">
      <w:pPr>
        <w:pStyle w:val="Corpsdetexte2"/>
        <w:numPr>
          <w:ilvl w:val="0"/>
          <w:numId w:val="5"/>
        </w:numPr>
        <w:ind w:right="-2"/>
        <w:rPr>
          <w:sz w:val="22"/>
          <w:szCs w:val="22"/>
        </w:rPr>
      </w:pPr>
      <w:r w:rsidRPr="000E2767">
        <w:rPr>
          <w:sz w:val="22"/>
          <w:szCs w:val="22"/>
        </w:rPr>
        <w:t xml:space="preserve">Une </w:t>
      </w:r>
      <w:r w:rsidR="00745EE2" w:rsidRPr="000E2767">
        <w:rPr>
          <w:sz w:val="22"/>
          <w:szCs w:val="22"/>
        </w:rPr>
        <w:t>forte progression de l’activité en Europe</w:t>
      </w:r>
      <w:r w:rsidR="007D5B3E" w:rsidRPr="000E2767">
        <w:rPr>
          <w:sz w:val="22"/>
          <w:szCs w:val="22"/>
        </w:rPr>
        <w:t xml:space="preserve"> </w:t>
      </w:r>
      <w:r w:rsidR="00984BC2" w:rsidRPr="000E2767">
        <w:rPr>
          <w:sz w:val="22"/>
          <w:szCs w:val="22"/>
        </w:rPr>
        <w:t xml:space="preserve">et </w:t>
      </w:r>
      <w:r w:rsidR="007D5B3E" w:rsidRPr="000E2767">
        <w:rPr>
          <w:sz w:val="22"/>
          <w:szCs w:val="22"/>
        </w:rPr>
        <w:t>en Asie</w:t>
      </w:r>
      <w:r w:rsidR="00745EE2" w:rsidRPr="000E2767">
        <w:rPr>
          <w:sz w:val="22"/>
          <w:szCs w:val="22"/>
        </w:rPr>
        <w:t>,</w:t>
      </w:r>
      <w:r w:rsidRPr="000E2767">
        <w:rPr>
          <w:sz w:val="22"/>
          <w:szCs w:val="22"/>
        </w:rPr>
        <w:t xml:space="preserve"> </w:t>
      </w:r>
    </w:p>
    <w:p w14:paraId="287B3E1D" w14:textId="77777777" w:rsidR="00676A82" w:rsidRPr="000E2767" w:rsidRDefault="00676A82" w:rsidP="003002E6">
      <w:pPr>
        <w:pStyle w:val="Corpsdetexte2"/>
        <w:numPr>
          <w:ilvl w:val="0"/>
          <w:numId w:val="5"/>
        </w:numPr>
        <w:ind w:right="-2"/>
        <w:rPr>
          <w:sz w:val="22"/>
          <w:szCs w:val="22"/>
        </w:rPr>
      </w:pPr>
      <w:r w:rsidRPr="000E2767">
        <w:rPr>
          <w:sz w:val="22"/>
          <w:szCs w:val="22"/>
        </w:rPr>
        <w:t xml:space="preserve">Une </w:t>
      </w:r>
      <w:r w:rsidR="007D5B3E" w:rsidRPr="000E2767">
        <w:rPr>
          <w:sz w:val="22"/>
          <w:szCs w:val="22"/>
        </w:rPr>
        <w:t xml:space="preserve">bonne </w:t>
      </w:r>
      <w:r w:rsidR="001255D0" w:rsidRPr="000E2767">
        <w:rPr>
          <w:sz w:val="22"/>
          <w:szCs w:val="22"/>
        </w:rPr>
        <w:t xml:space="preserve">performance </w:t>
      </w:r>
      <w:r w:rsidRPr="000E2767">
        <w:rPr>
          <w:sz w:val="22"/>
          <w:szCs w:val="22"/>
        </w:rPr>
        <w:t xml:space="preserve">du champagne </w:t>
      </w:r>
      <w:r w:rsidR="001255D0" w:rsidRPr="000E2767">
        <w:rPr>
          <w:sz w:val="22"/>
          <w:szCs w:val="22"/>
        </w:rPr>
        <w:t xml:space="preserve">grâce à la stratégie de valeur </w:t>
      </w:r>
      <w:r w:rsidRPr="000E2767">
        <w:rPr>
          <w:sz w:val="22"/>
          <w:szCs w:val="22"/>
        </w:rPr>
        <w:t xml:space="preserve">et </w:t>
      </w:r>
      <w:r w:rsidR="007D5B3E" w:rsidRPr="000E2767">
        <w:rPr>
          <w:sz w:val="22"/>
          <w:szCs w:val="22"/>
        </w:rPr>
        <w:t xml:space="preserve">un </w:t>
      </w:r>
      <w:r w:rsidR="00973475" w:rsidRPr="000E2767">
        <w:rPr>
          <w:sz w:val="22"/>
          <w:szCs w:val="22"/>
        </w:rPr>
        <w:t>tassement</w:t>
      </w:r>
      <w:r w:rsidR="007D5B3E" w:rsidRPr="000E2767">
        <w:rPr>
          <w:sz w:val="22"/>
          <w:szCs w:val="22"/>
        </w:rPr>
        <w:t xml:space="preserve"> </w:t>
      </w:r>
      <w:r w:rsidRPr="000E2767">
        <w:rPr>
          <w:sz w:val="22"/>
          <w:szCs w:val="22"/>
        </w:rPr>
        <w:t>du cognac</w:t>
      </w:r>
      <w:r w:rsidR="007D5B3E" w:rsidRPr="000E2767">
        <w:rPr>
          <w:sz w:val="22"/>
          <w:szCs w:val="22"/>
        </w:rPr>
        <w:t xml:space="preserve"> </w:t>
      </w:r>
      <w:r w:rsidR="006501E3" w:rsidRPr="000E2767">
        <w:rPr>
          <w:sz w:val="22"/>
          <w:szCs w:val="22"/>
        </w:rPr>
        <w:t xml:space="preserve">par rapport à un premier semestre 2022 </w:t>
      </w:r>
      <w:r w:rsidR="00561BD5" w:rsidRPr="000E2767">
        <w:rPr>
          <w:sz w:val="22"/>
          <w:szCs w:val="22"/>
        </w:rPr>
        <w:t>ayant bénéficié d’</w:t>
      </w:r>
      <w:r w:rsidR="006501E3" w:rsidRPr="000E2767">
        <w:rPr>
          <w:sz w:val="22"/>
          <w:szCs w:val="22"/>
        </w:rPr>
        <w:t xml:space="preserve">un </w:t>
      </w:r>
      <w:r w:rsidR="00F83F20" w:rsidRPr="000E2767">
        <w:rPr>
          <w:sz w:val="22"/>
          <w:szCs w:val="22"/>
        </w:rPr>
        <w:t>effet massif de reconstitution des stocks chez les distributeurs</w:t>
      </w:r>
      <w:r w:rsidR="006501E3" w:rsidRPr="000E2767">
        <w:rPr>
          <w:sz w:val="22"/>
          <w:szCs w:val="22"/>
        </w:rPr>
        <w:t xml:space="preserve">, </w:t>
      </w:r>
      <w:r w:rsidRPr="000E2767">
        <w:rPr>
          <w:sz w:val="22"/>
          <w:szCs w:val="22"/>
        </w:rPr>
        <w:t xml:space="preserve"> </w:t>
      </w:r>
    </w:p>
    <w:p w14:paraId="1B0AA68B" w14:textId="77777777" w:rsidR="00676A82" w:rsidRPr="000E2767" w:rsidRDefault="00676A82" w:rsidP="00676A82">
      <w:pPr>
        <w:numPr>
          <w:ilvl w:val="0"/>
          <w:numId w:val="5"/>
        </w:numPr>
        <w:tabs>
          <w:tab w:val="num" w:pos="720"/>
        </w:tabs>
        <w:ind w:right="-2"/>
        <w:jc w:val="both"/>
        <w:rPr>
          <w:sz w:val="22"/>
          <w:szCs w:val="22"/>
          <w:lang w:val="fr-FR"/>
        </w:rPr>
      </w:pPr>
      <w:r w:rsidRPr="000E2767">
        <w:rPr>
          <w:sz w:val="22"/>
          <w:szCs w:val="22"/>
          <w:lang w:val="fr-FR"/>
        </w:rPr>
        <w:t xml:space="preserve">Une performance remarquable de l’activité Mode et Maroquinerie, en particulier de Louis Vuitton, Christian Dior, </w:t>
      </w:r>
      <w:proofErr w:type="spellStart"/>
      <w:r w:rsidRPr="000E2767">
        <w:rPr>
          <w:sz w:val="22"/>
          <w:szCs w:val="22"/>
          <w:lang w:val="fr-FR"/>
        </w:rPr>
        <w:t>Celine</w:t>
      </w:r>
      <w:proofErr w:type="spellEnd"/>
      <w:r w:rsidR="00E51968" w:rsidRPr="000E2767">
        <w:rPr>
          <w:sz w:val="22"/>
          <w:szCs w:val="22"/>
          <w:lang w:val="fr-FR"/>
        </w:rPr>
        <w:t>, Loro Piana</w:t>
      </w:r>
      <w:r w:rsidR="007D5B3E" w:rsidRPr="000E2767">
        <w:rPr>
          <w:sz w:val="22"/>
          <w:szCs w:val="22"/>
          <w:lang w:val="fr-FR"/>
        </w:rPr>
        <w:t>,</w:t>
      </w:r>
      <w:r w:rsidRPr="000E2767">
        <w:rPr>
          <w:sz w:val="22"/>
          <w:szCs w:val="22"/>
          <w:lang w:val="fr-FR"/>
        </w:rPr>
        <w:t xml:space="preserve"> Loewe</w:t>
      </w:r>
      <w:r w:rsidR="00A17145" w:rsidRPr="000E2767">
        <w:rPr>
          <w:sz w:val="22"/>
          <w:szCs w:val="22"/>
          <w:lang w:val="fr-FR"/>
        </w:rPr>
        <w:t xml:space="preserve"> </w:t>
      </w:r>
      <w:r w:rsidR="007D5B3E" w:rsidRPr="000E2767">
        <w:rPr>
          <w:sz w:val="22"/>
          <w:szCs w:val="22"/>
          <w:lang w:val="fr-FR"/>
        </w:rPr>
        <w:t xml:space="preserve">et </w:t>
      </w:r>
      <w:r w:rsidR="006B1F2F" w:rsidRPr="000E2767">
        <w:rPr>
          <w:sz w:val="22"/>
          <w:szCs w:val="22"/>
          <w:lang w:val="fr-FR"/>
        </w:rPr>
        <w:t>toutes les autres marques</w:t>
      </w:r>
      <w:r w:rsidR="007D5B3E" w:rsidRPr="000E2767">
        <w:rPr>
          <w:sz w:val="22"/>
          <w:szCs w:val="22"/>
          <w:lang w:val="fr-FR"/>
        </w:rPr>
        <w:t xml:space="preserve"> </w:t>
      </w:r>
      <w:r w:rsidR="00A17145" w:rsidRPr="000E2767">
        <w:rPr>
          <w:sz w:val="22"/>
          <w:szCs w:val="22"/>
          <w:lang w:val="fr-FR"/>
        </w:rPr>
        <w:t>qui gagnent partout des parts de march</w:t>
      </w:r>
      <w:r w:rsidR="001255D0" w:rsidRPr="000E2767">
        <w:rPr>
          <w:sz w:val="22"/>
          <w:szCs w:val="22"/>
          <w:lang w:val="fr-FR"/>
        </w:rPr>
        <w:t>é</w:t>
      </w:r>
      <w:r w:rsidRPr="000E2767">
        <w:rPr>
          <w:sz w:val="22"/>
          <w:szCs w:val="22"/>
          <w:lang w:val="fr-FR"/>
        </w:rPr>
        <w:t xml:space="preserve">, </w:t>
      </w:r>
    </w:p>
    <w:p w14:paraId="02A3EB55" w14:textId="77777777" w:rsidR="00256222" w:rsidRPr="000E2767" w:rsidRDefault="00256222" w:rsidP="00676A82">
      <w:pPr>
        <w:numPr>
          <w:ilvl w:val="0"/>
          <w:numId w:val="5"/>
        </w:numPr>
        <w:tabs>
          <w:tab w:val="num" w:pos="720"/>
        </w:tabs>
        <w:ind w:right="-2"/>
        <w:jc w:val="both"/>
        <w:rPr>
          <w:sz w:val="22"/>
          <w:szCs w:val="22"/>
          <w:lang w:val="fr-FR"/>
        </w:rPr>
      </w:pPr>
      <w:r w:rsidRPr="000E2767">
        <w:rPr>
          <w:sz w:val="22"/>
          <w:szCs w:val="22"/>
          <w:lang w:val="fr-FR"/>
        </w:rPr>
        <w:t>Des avancées rapides du parfum</w:t>
      </w:r>
      <w:r w:rsidR="006B1F2F" w:rsidRPr="000E2767">
        <w:rPr>
          <w:sz w:val="22"/>
          <w:szCs w:val="22"/>
          <w:lang w:val="fr-FR"/>
        </w:rPr>
        <w:t>,</w:t>
      </w:r>
      <w:r w:rsidR="00C02EED" w:rsidRPr="000E2767">
        <w:rPr>
          <w:sz w:val="22"/>
          <w:szCs w:val="22"/>
          <w:lang w:val="fr-FR"/>
        </w:rPr>
        <w:t xml:space="preserve"> du </w:t>
      </w:r>
      <w:r w:rsidR="001255D0" w:rsidRPr="000E2767">
        <w:rPr>
          <w:sz w:val="22"/>
          <w:szCs w:val="22"/>
          <w:lang w:val="fr-FR"/>
        </w:rPr>
        <w:t>maquillage</w:t>
      </w:r>
      <w:r w:rsidR="006B1F2F" w:rsidRPr="000E2767">
        <w:rPr>
          <w:sz w:val="22"/>
          <w:szCs w:val="22"/>
          <w:lang w:val="fr-FR"/>
        </w:rPr>
        <w:t xml:space="preserve"> et du soin,</w:t>
      </w:r>
    </w:p>
    <w:p w14:paraId="6587BE45" w14:textId="77777777" w:rsidR="00676A82" w:rsidRPr="000E2767" w:rsidRDefault="00F01EC8" w:rsidP="00600303">
      <w:pPr>
        <w:pStyle w:val="Corpsdetexte2"/>
        <w:numPr>
          <w:ilvl w:val="0"/>
          <w:numId w:val="5"/>
        </w:numPr>
        <w:ind w:right="-2"/>
        <w:rPr>
          <w:sz w:val="22"/>
          <w:szCs w:val="22"/>
        </w:rPr>
      </w:pPr>
      <w:r w:rsidRPr="000E2767">
        <w:rPr>
          <w:sz w:val="22"/>
          <w:szCs w:val="22"/>
        </w:rPr>
        <w:t>Une progression remarquable de la haute joaillerie et une</w:t>
      </w:r>
      <w:r w:rsidR="00682137" w:rsidRPr="000E2767">
        <w:rPr>
          <w:sz w:val="22"/>
          <w:szCs w:val="22"/>
        </w:rPr>
        <w:t xml:space="preserve"> </w:t>
      </w:r>
      <w:r w:rsidRPr="000E2767">
        <w:rPr>
          <w:sz w:val="22"/>
          <w:szCs w:val="22"/>
        </w:rPr>
        <w:t xml:space="preserve">forte </w:t>
      </w:r>
      <w:r w:rsidR="00D27AA9" w:rsidRPr="000E2767">
        <w:rPr>
          <w:sz w:val="22"/>
          <w:szCs w:val="22"/>
        </w:rPr>
        <w:t>dynamique</w:t>
      </w:r>
      <w:r w:rsidR="00EE43EF" w:rsidRPr="000E2767">
        <w:rPr>
          <w:sz w:val="22"/>
          <w:szCs w:val="22"/>
        </w:rPr>
        <w:t xml:space="preserve"> </w:t>
      </w:r>
      <w:r w:rsidR="00F5704A" w:rsidRPr="000E2767">
        <w:rPr>
          <w:sz w:val="22"/>
          <w:szCs w:val="22"/>
        </w:rPr>
        <w:t xml:space="preserve">créative </w:t>
      </w:r>
      <w:r w:rsidR="00682137" w:rsidRPr="000E2767">
        <w:rPr>
          <w:sz w:val="22"/>
          <w:szCs w:val="22"/>
        </w:rPr>
        <w:t xml:space="preserve">pour </w:t>
      </w:r>
      <w:r w:rsidRPr="000E2767">
        <w:rPr>
          <w:sz w:val="22"/>
          <w:szCs w:val="22"/>
        </w:rPr>
        <w:t>toutes les Maisons de</w:t>
      </w:r>
      <w:r w:rsidR="00682137" w:rsidRPr="000E2767">
        <w:rPr>
          <w:sz w:val="22"/>
          <w:szCs w:val="22"/>
        </w:rPr>
        <w:t xml:space="preserve"> Montres et Joaillerie, en particulier Tiffany</w:t>
      </w:r>
      <w:r w:rsidR="00C02EED" w:rsidRPr="000E2767">
        <w:rPr>
          <w:sz w:val="22"/>
          <w:szCs w:val="22"/>
        </w:rPr>
        <w:t xml:space="preserve">, </w:t>
      </w:r>
      <w:r w:rsidR="00F5704A" w:rsidRPr="000E2767">
        <w:rPr>
          <w:sz w:val="22"/>
          <w:szCs w:val="22"/>
        </w:rPr>
        <w:t>Bulgari</w:t>
      </w:r>
      <w:r w:rsidR="00C02EED" w:rsidRPr="000E2767">
        <w:rPr>
          <w:sz w:val="22"/>
          <w:szCs w:val="22"/>
        </w:rPr>
        <w:t xml:space="preserve"> et T</w:t>
      </w:r>
      <w:r w:rsidR="007E1508" w:rsidRPr="000E2767">
        <w:rPr>
          <w:sz w:val="22"/>
          <w:szCs w:val="22"/>
        </w:rPr>
        <w:t>AG</w:t>
      </w:r>
      <w:r w:rsidR="00C02EED" w:rsidRPr="000E2767">
        <w:rPr>
          <w:sz w:val="22"/>
          <w:szCs w:val="22"/>
        </w:rPr>
        <w:t xml:space="preserve"> Heuer</w:t>
      </w:r>
      <w:r w:rsidR="00682137" w:rsidRPr="000E2767">
        <w:rPr>
          <w:sz w:val="22"/>
          <w:szCs w:val="22"/>
        </w:rPr>
        <w:t>,</w:t>
      </w:r>
      <w:r w:rsidR="00D27AA9" w:rsidRPr="000E2767">
        <w:rPr>
          <w:sz w:val="22"/>
          <w:szCs w:val="22"/>
        </w:rPr>
        <w:t xml:space="preserve"> </w:t>
      </w:r>
    </w:p>
    <w:p w14:paraId="239B4539" w14:textId="77777777" w:rsidR="00E517B6" w:rsidRPr="000E2767" w:rsidRDefault="00256222" w:rsidP="00E517B6">
      <w:pPr>
        <w:numPr>
          <w:ilvl w:val="0"/>
          <w:numId w:val="5"/>
        </w:numPr>
        <w:ind w:right="-2"/>
        <w:jc w:val="both"/>
        <w:rPr>
          <w:sz w:val="22"/>
          <w:szCs w:val="22"/>
          <w:lang w:val="fr-FR"/>
        </w:rPr>
      </w:pPr>
      <w:r w:rsidRPr="000E2767">
        <w:rPr>
          <w:sz w:val="22"/>
          <w:szCs w:val="22"/>
          <w:lang w:val="fr-FR"/>
        </w:rPr>
        <w:t>Un</w:t>
      </w:r>
      <w:r w:rsidR="001255D0" w:rsidRPr="000E2767">
        <w:rPr>
          <w:sz w:val="22"/>
          <w:szCs w:val="22"/>
          <w:lang w:val="fr-FR"/>
        </w:rPr>
        <w:t>e performance exceptionnelle de</w:t>
      </w:r>
      <w:r w:rsidRPr="000E2767">
        <w:rPr>
          <w:sz w:val="22"/>
          <w:szCs w:val="22"/>
          <w:lang w:val="fr-FR"/>
        </w:rPr>
        <w:t xml:space="preserve"> Sephora</w:t>
      </w:r>
      <w:r w:rsidR="00DC0079" w:rsidRPr="000E2767">
        <w:rPr>
          <w:sz w:val="22"/>
          <w:szCs w:val="22"/>
          <w:lang w:val="fr-FR"/>
        </w:rPr>
        <w:t>,</w:t>
      </w:r>
      <w:r w:rsidR="00E517B6" w:rsidRPr="000E2767">
        <w:rPr>
          <w:sz w:val="22"/>
          <w:szCs w:val="22"/>
          <w:lang w:val="fr-FR"/>
        </w:rPr>
        <w:t xml:space="preserve"> qui confirme sa place de leader mondial dans la distribution des produits de beauté,</w:t>
      </w:r>
    </w:p>
    <w:p w14:paraId="16BB5242" w14:textId="77777777" w:rsidR="00CC6D56" w:rsidRPr="000E2767" w:rsidRDefault="00CC6D56" w:rsidP="00E517B6">
      <w:pPr>
        <w:numPr>
          <w:ilvl w:val="0"/>
          <w:numId w:val="5"/>
        </w:numPr>
        <w:ind w:right="-2"/>
        <w:jc w:val="both"/>
        <w:rPr>
          <w:sz w:val="22"/>
          <w:szCs w:val="22"/>
          <w:lang w:val="fr-FR"/>
        </w:rPr>
      </w:pPr>
      <w:r w:rsidRPr="000E2767">
        <w:rPr>
          <w:sz w:val="22"/>
          <w:szCs w:val="22"/>
          <w:lang w:val="fr-FR"/>
        </w:rPr>
        <w:t>Un retour au profit de DFS </w:t>
      </w:r>
      <w:r w:rsidR="00F01EC8" w:rsidRPr="000E2767">
        <w:rPr>
          <w:sz w:val="22"/>
          <w:szCs w:val="22"/>
          <w:lang w:val="fr-FR"/>
        </w:rPr>
        <w:t>qui bénéficie de la reprise des voyages internationaux</w:t>
      </w:r>
      <w:r w:rsidR="000F263D" w:rsidRPr="000E2767">
        <w:rPr>
          <w:sz w:val="22"/>
          <w:szCs w:val="22"/>
          <w:lang w:val="fr-FR"/>
        </w:rPr>
        <w:t>,</w:t>
      </w:r>
    </w:p>
    <w:p w14:paraId="2B4F6A72" w14:textId="77777777" w:rsidR="000F263D" w:rsidRPr="000E2767" w:rsidRDefault="005F2E12" w:rsidP="00E517B6">
      <w:pPr>
        <w:numPr>
          <w:ilvl w:val="0"/>
          <w:numId w:val="5"/>
        </w:numPr>
        <w:ind w:right="-2"/>
        <w:jc w:val="both"/>
        <w:rPr>
          <w:sz w:val="22"/>
          <w:szCs w:val="22"/>
          <w:lang w:val="fr-FR"/>
        </w:rPr>
      </w:pPr>
      <w:r w:rsidRPr="000E2767">
        <w:rPr>
          <w:sz w:val="22"/>
          <w:szCs w:val="22"/>
          <w:lang w:val="fr-FR"/>
        </w:rPr>
        <w:t xml:space="preserve">Un </w:t>
      </w:r>
      <w:proofErr w:type="spellStart"/>
      <w:r w:rsidRPr="000E2767">
        <w:rPr>
          <w:sz w:val="22"/>
          <w:szCs w:val="22"/>
          <w:lang w:val="fr-FR"/>
        </w:rPr>
        <w:t>cash flow</w:t>
      </w:r>
      <w:proofErr w:type="spellEnd"/>
      <w:r w:rsidRPr="000E2767">
        <w:rPr>
          <w:sz w:val="22"/>
          <w:szCs w:val="22"/>
          <w:lang w:val="fr-FR"/>
        </w:rPr>
        <w:t xml:space="preserve"> disponible d’exploitation en baisse de moitié </w:t>
      </w:r>
      <w:r w:rsidR="004D2540" w:rsidRPr="000E2767">
        <w:rPr>
          <w:sz w:val="22"/>
          <w:szCs w:val="22"/>
          <w:lang w:val="fr-FR"/>
        </w:rPr>
        <w:t>en raison d’importants investissements en actifs immobiliers d’exception et en stock</w:t>
      </w:r>
      <w:r w:rsidR="009F3C5E" w:rsidRPr="000E2767">
        <w:rPr>
          <w:sz w:val="22"/>
          <w:szCs w:val="22"/>
          <w:lang w:val="fr-FR"/>
        </w:rPr>
        <w:t>s</w:t>
      </w:r>
      <w:r w:rsidR="004D2540" w:rsidRPr="000E2767">
        <w:rPr>
          <w:sz w:val="22"/>
          <w:szCs w:val="22"/>
          <w:lang w:val="fr-FR"/>
        </w:rPr>
        <w:t xml:space="preserve"> opérationnels, en particulier en haute joaillerie</w:t>
      </w:r>
      <w:r w:rsidRPr="000E2767">
        <w:rPr>
          <w:sz w:val="22"/>
          <w:szCs w:val="22"/>
          <w:lang w:val="fr-FR"/>
        </w:rPr>
        <w:t>.</w:t>
      </w:r>
    </w:p>
    <w:p w14:paraId="20B3614C" w14:textId="77777777" w:rsidR="00843B24" w:rsidRPr="007C2DCB" w:rsidRDefault="00693935" w:rsidP="007C2DCB">
      <w:pPr>
        <w:pStyle w:val="Corpsdetexte2"/>
        <w:ind w:right="-2"/>
        <w:rPr>
          <w:szCs w:val="24"/>
        </w:rPr>
      </w:pPr>
      <w:r w:rsidRPr="000F263D">
        <w:br w:type="page"/>
      </w:r>
      <w:bookmarkStart w:id="1" w:name="_Hlk45300654"/>
      <w:r w:rsidR="00F3244E" w:rsidRPr="00C134BD">
        <w:rPr>
          <w:b/>
          <w:sz w:val="22"/>
          <w:szCs w:val="22"/>
        </w:rPr>
        <w:lastRenderedPageBreak/>
        <w:t>Chiffres clés</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843"/>
        <w:gridCol w:w="1843"/>
        <w:gridCol w:w="1843"/>
      </w:tblGrid>
      <w:tr w:rsidR="00DC5ED8" w:rsidRPr="00C134BD" w14:paraId="6625EF63" w14:textId="77777777" w:rsidTr="00690DD8">
        <w:trPr>
          <w:trHeight w:val="917"/>
        </w:trPr>
        <w:tc>
          <w:tcPr>
            <w:tcW w:w="3472" w:type="dxa"/>
            <w:vAlign w:val="center"/>
          </w:tcPr>
          <w:p w14:paraId="1CA857D6" w14:textId="77777777" w:rsidR="00DC5ED8" w:rsidRPr="00C134BD" w:rsidRDefault="00DC5ED8" w:rsidP="00B76954">
            <w:pPr>
              <w:rPr>
                <w:sz w:val="22"/>
                <w:szCs w:val="22"/>
                <w:lang w:val="fr-FR"/>
              </w:rPr>
            </w:pPr>
            <w:bookmarkStart w:id="2" w:name="_Hlk14699991"/>
            <w:r w:rsidRPr="00C134BD">
              <w:rPr>
                <w:sz w:val="22"/>
                <w:szCs w:val="22"/>
                <w:lang w:val="fr-FR"/>
              </w:rPr>
              <w:br w:type="page"/>
            </w:r>
            <w:r w:rsidRPr="00C134BD">
              <w:rPr>
                <w:sz w:val="22"/>
                <w:szCs w:val="22"/>
                <w:lang w:val="fr-FR"/>
              </w:rPr>
              <w:br w:type="page"/>
            </w:r>
            <w:proofErr w:type="spellStart"/>
            <w:r w:rsidRPr="00C134BD">
              <w:rPr>
                <w:i/>
                <w:sz w:val="22"/>
                <w:szCs w:val="22"/>
              </w:rPr>
              <w:t>En</w:t>
            </w:r>
            <w:proofErr w:type="spellEnd"/>
            <w:r w:rsidRPr="00C134BD">
              <w:rPr>
                <w:i/>
                <w:sz w:val="22"/>
                <w:szCs w:val="22"/>
              </w:rPr>
              <w:t xml:space="preserve"> millions </w:t>
            </w:r>
            <w:proofErr w:type="spellStart"/>
            <w:r w:rsidRPr="00C134BD">
              <w:rPr>
                <w:i/>
                <w:sz w:val="22"/>
                <w:szCs w:val="22"/>
              </w:rPr>
              <w:t>d'euros</w:t>
            </w:r>
            <w:proofErr w:type="spellEnd"/>
          </w:p>
        </w:tc>
        <w:tc>
          <w:tcPr>
            <w:tcW w:w="1843" w:type="dxa"/>
            <w:vAlign w:val="center"/>
          </w:tcPr>
          <w:p w14:paraId="013E5B34" w14:textId="77777777" w:rsidR="00BE4987" w:rsidRPr="00690DD8" w:rsidRDefault="00DC5ED8" w:rsidP="00690DD8">
            <w:pPr>
              <w:spacing w:before="20"/>
              <w:jc w:val="center"/>
              <w:rPr>
                <w:rFonts w:eastAsia="LVMH"/>
                <w:b/>
                <w:bCs/>
                <w:color w:val="000000"/>
                <w:sz w:val="22"/>
                <w:szCs w:val="22"/>
                <w:lang w:val="fr-FR" w:eastAsia="en-US"/>
              </w:rPr>
            </w:pPr>
            <w:r w:rsidRPr="00690DD8">
              <w:rPr>
                <w:rFonts w:eastAsia="LVMH"/>
                <w:b/>
                <w:bCs/>
                <w:color w:val="000000"/>
                <w:sz w:val="22"/>
                <w:szCs w:val="22"/>
                <w:lang w:val="fr-FR" w:eastAsia="en-US"/>
              </w:rPr>
              <w:t xml:space="preserve">1er semestre </w:t>
            </w:r>
          </w:p>
          <w:p w14:paraId="503D7EAE" w14:textId="77777777" w:rsidR="00DC5ED8" w:rsidRPr="00C134BD" w:rsidRDefault="00DC5ED8" w:rsidP="00690DD8">
            <w:pPr>
              <w:spacing w:before="20"/>
              <w:jc w:val="center"/>
              <w:rPr>
                <w:b/>
                <w:sz w:val="22"/>
                <w:szCs w:val="22"/>
                <w:lang w:val="fr-FR"/>
              </w:rPr>
            </w:pPr>
            <w:r w:rsidRPr="00690DD8">
              <w:rPr>
                <w:rFonts w:eastAsia="LVMH"/>
                <w:b/>
                <w:bCs/>
                <w:color w:val="000000"/>
                <w:sz w:val="22"/>
                <w:szCs w:val="22"/>
                <w:lang w:val="fr-FR" w:eastAsia="en-US"/>
              </w:rPr>
              <w:t>202</w:t>
            </w:r>
            <w:r w:rsidR="00906D9C" w:rsidRPr="00690DD8">
              <w:rPr>
                <w:rFonts w:eastAsia="LVMH"/>
                <w:b/>
                <w:bCs/>
                <w:color w:val="000000"/>
                <w:sz w:val="22"/>
                <w:szCs w:val="22"/>
                <w:lang w:val="fr-FR" w:eastAsia="en-US"/>
              </w:rPr>
              <w:t>2</w:t>
            </w:r>
          </w:p>
        </w:tc>
        <w:tc>
          <w:tcPr>
            <w:tcW w:w="1843" w:type="dxa"/>
            <w:vAlign w:val="center"/>
          </w:tcPr>
          <w:p w14:paraId="6231BA2B" w14:textId="77777777" w:rsidR="00B77EE8" w:rsidRPr="00690DD8" w:rsidRDefault="00DC5ED8" w:rsidP="00690DD8">
            <w:pPr>
              <w:spacing w:before="20"/>
              <w:jc w:val="center"/>
              <w:rPr>
                <w:rFonts w:eastAsia="LVMH"/>
                <w:b/>
                <w:bCs/>
                <w:color w:val="000000"/>
                <w:sz w:val="22"/>
                <w:szCs w:val="22"/>
                <w:lang w:val="fr-FR" w:eastAsia="en-US"/>
              </w:rPr>
            </w:pPr>
            <w:r w:rsidRPr="00690DD8">
              <w:rPr>
                <w:rFonts w:eastAsia="LVMH"/>
                <w:b/>
                <w:bCs/>
                <w:color w:val="000000"/>
                <w:sz w:val="22"/>
                <w:szCs w:val="22"/>
                <w:lang w:val="fr-FR" w:eastAsia="en-US"/>
              </w:rPr>
              <w:t xml:space="preserve">1er semestre </w:t>
            </w:r>
          </w:p>
          <w:p w14:paraId="28BFEA93" w14:textId="77777777" w:rsidR="00DC5ED8" w:rsidRPr="00C134BD" w:rsidRDefault="00DC5ED8" w:rsidP="00690DD8">
            <w:pPr>
              <w:spacing w:before="20"/>
              <w:jc w:val="center"/>
              <w:rPr>
                <w:b/>
                <w:sz w:val="22"/>
                <w:szCs w:val="22"/>
                <w:lang w:val="fr-FR"/>
              </w:rPr>
            </w:pPr>
            <w:r w:rsidRPr="00690DD8">
              <w:rPr>
                <w:rFonts w:eastAsia="LVMH"/>
                <w:b/>
                <w:bCs/>
                <w:color w:val="000000"/>
                <w:sz w:val="22"/>
                <w:szCs w:val="22"/>
                <w:lang w:val="fr-FR" w:eastAsia="en-US"/>
              </w:rPr>
              <w:t>202</w:t>
            </w:r>
            <w:r w:rsidR="00906D9C" w:rsidRPr="00690DD8">
              <w:rPr>
                <w:rFonts w:eastAsia="LVMH"/>
                <w:b/>
                <w:bCs/>
                <w:color w:val="000000"/>
                <w:sz w:val="22"/>
                <w:szCs w:val="22"/>
                <w:lang w:val="fr-FR" w:eastAsia="en-US"/>
              </w:rPr>
              <w:t>3</w:t>
            </w:r>
          </w:p>
        </w:tc>
        <w:tc>
          <w:tcPr>
            <w:tcW w:w="1843" w:type="dxa"/>
            <w:vAlign w:val="center"/>
          </w:tcPr>
          <w:p w14:paraId="6596D2E8" w14:textId="77777777" w:rsidR="00DC5ED8" w:rsidRPr="00C134BD" w:rsidRDefault="004971D1" w:rsidP="00B77EE8">
            <w:pPr>
              <w:ind w:left="-66"/>
              <w:jc w:val="center"/>
              <w:rPr>
                <w:b/>
                <w:sz w:val="22"/>
                <w:szCs w:val="22"/>
                <w:lang w:val="fr-FR"/>
              </w:rPr>
            </w:pPr>
            <w:r>
              <w:rPr>
                <w:b/>
                <w:sz w:val="22"/>
                <w:szCs w:val="22"/>
                <w:lang w:val="fr-FR"/>
              </w:rPr>
              <w:t>% v</w:t>
            </w:r>
            <w:r w:rsidR="00DC5ED8" w:rsidRPr="00C134BD">
              <w:rPr>
                <w:b/>
                <w:sz w:val="22"/>
                <w:szCs w:val="22"/>
                <w:lang w:val="fr-FR"/>
              </w:rPr>
              <w:t xml:space="preserve">ariation </w:t>
            </w:r>
          </w:p>
        </w:tc>
      </w:tr>
      <w:tr w:rsidR="00906D9C" w:rsidRPr="00C134BD" w14:paraId="57BBF7A1" w14:textId="77777777" w:rsidTr="00BE4987">
        <w:tc>
          <w:tcPr>
            <w:tcW w:w="3472" w:type="dxa"/>
            <w:vAlign w:val="center"/>
          </w:tcPr>
          <w:p w14:paraId="585D9263" w14:textId="77777777" w:rsidR="00906D9C" w:rsidRPr="00135256" w:rsidRDefault="00906D9C" w:rsidP="00906D9C">
            <w:pPr>
              <w:spacing w:before="120" w:after="120"/>
              <w:jc w:val="both"/>
              <w:rPr>
                <w:sz w:val="22"/>
                <w:szCs w:val="22"/>
                <w:lang w:val="de-DE"/>
              </w:rPr>
            </w:pPr>
            <w:proofErr w:type="spellStart"/>
            <w:r w:rsidRPr="00135256">
              <w:rPr>
                <w:sz w:val="22"/>
                <w:szCs w:val="22"/>
                <w:lang w:val="de-DE"/>
              </w:rPr>
              <w:t>Ventes</w:t>
            </w:r>
            <w:proofErr w:type="spellEnd"/>
          </w:p>
        </w:tc>
        <w:tc>
          <w:tcPr>
            <w:tcW w:w="1843" w:type="dxa"/>
            <w:vAlign w:val="center"/>
          </w:tcPr>
          <w:p w14:paraId="18C5CF9C" w14:textId="77777777" w:rsidR="00906D9C" w:rsidRPr="00135256" w:rsidRDefault="00906D9C" w:rsidP="00906D9C">
            <w:pPr>
              <w:spacing w:before="120" w:after="120"/>
              <w:ind w:right="495"/>
              <w:jc w:val="right"/>
              <w:rPr>
                <w:sz w:val="22"/>
                <w:szCs w:val="22"/>
                <w:lang w:val="de-DE"/>
              </w:rPr>
            </w:pPr>
            <w:r>
              <w:rPr>
                <w:sz w:val="22"/>
                <w:szCs w:val="22"/>
                <w:lang w:val="de-DE"/>
              </w:rPr>
              <w:t>36 729</w:t>
            </w:r>
          </w:p>
        </w:tc>
        <w:tc>
          <w:tcPr>
            <w:tcW w:w="1843" w:type="dxa"/>
            <w:vAlign w:val="center"/>
          </w:tcPr>
          <w:p w14:paraId="77BA5FDF" w14:textId="77777777" w:rsidR="00906D9C" w:rsidRPr="00135256" w:rsidRDefault="006C3860" w:rsidP="00906D9C">
            <w:pPr>
              <w:tabs>
                <w:tab w:val="left" w:pos="930"/>
              </w:tabs>
              <w:spacing w:before="120" w:after="120"/>
              <w:ind w:left="-62" w:right="504"/>
              <w:jc w:val="right"/>
              <w:rPr>
                <w:sz w:val="22"/>
                <w:szCs w:val="22"/>
                <w:lang w:val="de-DE"/>
              </w:rPr>
            </w:pPr>
            <w:r>
              <w:rPr>
                <w:sz w:val="22"/>
                <w:szCs w:val="22"/>
                <w:lang w:val="de-DE"/>
              </w:rPr>
              <w:t>42 240</w:t>
            </w:r>
          </w:p>
        </w:tc>
        <w:tc>
          <w:tcPr>
            <w:tcW w:w="1843" w:type="dxa"/>
            <w:vAlign w:val="center"/>
          </w:tcPr>
          <w:p w14:paraId="43FCE3CD" w14:textId="77777777" w:rsidR="00906D9C" w:rsidRPr="00135256" w:rsidRDefault="006C3860" w:rsidP="00906D9C">
            <w:pPr>
              <w:spacing w:before="120" w:after="120"/>
              <w:jc w:val="center"/>
              <w:rPr>
                <w:sz w:val="22"/>
                <w:szCs w:val="22"/>
                <w:lang w:val="de-DE"/>
              </w:rPr>
            </w:pPr>
            <w:r>
              <w:rPr>
                <w:sz w:val="22"/>
                <w:szCs w:val="22"/>
                <w:lang w:val="de-DE"/>
              </w:rPr>
              <w:t>+ 15 %</w:t>
            </w:r>
          </w:p>
        </w:tc>
      </w:tr>
      <w:tr w:rsidR="00906D9C" w:rsidRPr="00C134BD" w14:paraId="1361A626" w14:textId="77777777" w:rsidTr="00BE4987">
        <w:tc>
          <w:tcPr>
            <w:tcW w:w="3472" w:type="dxa"/>
            <w:vAlign w:val="center"/>
          </w:tcPr>
          <w:p w14:paraId="6117B241" w14:textId="77777777" w:rsidR="00906D9C" w:rsidRPr="00135256" w:rsidRDefault="00906D9C" w:rsidP="00906D9C">
            <w:pPr>
              <w:spacing w:before="120" w:after="120"/>
              <w:jc w:val="both"/>
              <w:rPr>
                <w:sz w:val="22"/>
                <w:szCs w:val="22"/>
                <w:lang w:val="de-DE"/>
              </w:rPr>
            </w:pPr>
            <w:proofErr w:type="spellStart"/>
            <w:r w:rsidRPr="00135256">
              <w:rPr>
                <w:sz w:val="22"/>
                <w:szCs w:val="22"/>
                <w:lang w:val="de-DE"/>
              </w:rPr>
              <w:t>Résultat</w:t>
            </w:r>
            <w:proofErr w:type="spellEnd"/>
            <w:r w:rsidRPr="00135256">
              <w:rPr>
                <w:sz w:val="22"/>
                <w:szCs w:val="22"/>
                <w:lang w:val="de-DE"/>
              </w:rPr>
              <w:t xml:space="preserve"> </w:t>
            </w:r>
            <w:proofErr w:type="spellStart"/>
            <w:r w:rsidRPr="00135256">
              <w:rPr>
                <w:sz w:val="22"/>
                <w:szCs w:val="22"/>
                <w:lang w:val="de-DE"/>
              </w:rPr>
              <w:t>opérationnel</w:t>
            </w:r>
            <w:proofErr w:type="spellEnd"/>
            <w:r w:rsidRPr="00135256">
              <w:rPr>
                <w:sz w:val="22"/>
                <w:szCs w:val="22"/>
                <w:lang w:val="de-DE"/>
              </w:rPr>
              <w:t xml:space="preserve"> courant</w:t>
            </w:r>
          </w:p>
        </w:tc>
        <w:tc>
          <w:tcPr>
            <w:tcW w:w="1843" w:type="dxa"/>
            <w:vAlign w:val="center"/>
          </w:tcPr>
          <w:p w14:paraId="651E4E7D" w14:textId="77777777" w:rsidR="00906D9C" w:rsidRPr="00135256" w:rsidRDefault="00906D9C" w:rsidP="00906D9C">
            <w:pPr>
              <w:spacing w:before="120" w:after="120"/>
              <w:ind w:right="495"/>
              <w:jc w:val="right"/>
              <w:rPr>
                <w:sz w:val="22"/>
                <w:szCs w:val="22"/>
                <w:lang w:val="de-DE"/>
              </w:rPr>
            </w:pPr>
            <w:r>
              <w:rPr>
                <w:sz w:val="22"/>
                <w:szCs w:val="22"/>
                <w:lang w:val="de-DE"/>
              </w:rPr>
              <w:t>10 235</w:t>
            </w:r>
          </w:p>
        </w:tc>
        <w:tc>
          <w:tcPr>
            <w:tcW w:w="1843" w:type="dxa"/>
            <w:vAlign w:val="center"/>
          </w:tcPr>
          <w:p w14:paraId="56B5FA4F" w14:textId="77777777" w:rsidR="00906D9C" w:rsidRPr="00135256" w:rsidRDefault="00C320C8" w:rsidP="00906D9C">
            <w:pPr>
              <w:tabs>
                <w:tab w:val="left" w:pos="930"/>
              </w:tabs>
              <w:spacing w:before="120" w:after="120"/>
              <w:ind w:left="363" w:right="504"/>
              <w:jc w:val="right"/>
              <w:rPr>
                <w:sz w:val="22"/>
                <w:szCs w:val="22"/>
                <w:lang w:val="de-DE"/>
              </w:rPr>
            </w:pPr>
            <w:r>
              <w:rPr>
                <w:sz w:val="22"/>
                <w:szCs w:val="22"/>
                <w:lang w:val="de-DE"/>
              </w:rPr>
              <w:t>11 574</w:t>
            </w:r>
          </w:p>
        </w:tc>
        <w:tc>
          <w:tcPr>
            <w:tcW w:w="1843" w:type="dxa"/>
            <w:vAlign w:val="center"/>
          </w:tcPr>
          <w:p w14:paraId="1E508DEE" w14:textId="77777777" w:rsidR="00906D9C" w:rsidRPr="00135256" w:rsidRDefault="00C320C8" w:rsidP="00906D9C">
            <w:pPr>
              <w:spacing w:before="120" w:after="120"/>
              <w:jc w:val="center"/>
              <w:rPr>
                <w:sz w:val="22"/>
                <w:szCs w:val="22"/>
                <w:lang w:val="de-DE"/>
              </w:rPr>
            </w:pPr>
            <w:r>
              <w:rPr>
                <w:sz w:val="22"/>
                <w:szCs w:val="22"/>
                <w:lang w:val="de-DE"/>
              </w:rPr>
              <w:t>+ 13 %</w:t>
            </w:r>
          </w:p>
        </w:tc>
      </w:tr>
      <w:tr w:rsidR="00906D9C" w:rsidRPr="00C134BD" w14:paraId="69C3FF33" w14:textId="77777777" w:rsidTr="00BE4987">
        <w:tc>
          <w:tcPr>
            <w:tcW w:w="3472" w:type="dxa"/>
            <w:vAlign w:val="center"/>
          </w:tcPr>
          <w:p w14:paraId="242FCC9C" w14:textId="77777777" w:rsidR="00906D9C" w:rsidRPr="00135256" w:rsidRDefault="00906D9C" w:rsidP="00906D9C">
            <w:pPr>
              <w:spacing w:before="120" w:after="120"/>
              <w:jc w:val="both"/>
              <w:rPr>
                <w:sz w:val="22"/>
                <w:szCs w:val="22"/>
                <w:lang w:val="de-DE"/>
              </w:rPr>
            </w:pPr>
            <w:proofErr w:type="spellStart"/>
            <w:r w:rsidRPr="00135256">
              <w:rPr>
                <w:sz w:val="22"/>
                <w:szCs w:val="22"/>
                <w:lang w:val="de-DE"/>
              </w:rPr>
              <w:t>Résultat</w:t>
            </w:r>
            <w:proofErr w:type="spellEnd"/>
            <w:r w:rsidRPr="00135256">
              <w:rPr>
                <w:sz w:val="22"/>
                <w:szCs w:val="22"/>
                <w:lang w:val="de-DE"/>
              </w:rPr>
              <w:t xml:space="preserve"> </w:t>
            </w:r>
            <w:proofErr w:type="spellStart"/>
            <w:r w:rsidRPr="00135256">
              <w:rPr>
                <w:sz w:val="22"/>
                <w:szCs w:val="22"/>
                <w:lang w:val="de-DE"/>
              </w:rPr>
              <w:t>net</w:t>
            </w:r>
            <w:proofErr w:type="spellEnd"/>
            <w:r w:rsidRPr="00135256">
              <w:rPr>
                <w:sz w:val="22"/>
                <w:szCs w:val="22"/>
                <w:lang w:val="de-DE"/>
              </w:rPr>
              <w:t xml:space="preserve"> (</w:t>
            </w:r>
            <w:proofErr w:type="spellStart"/>
            <w:r w:rsidRPr="00135256">
              <w:rPr>
                <w:sz w:val="22"/>
                <w:szCs w:val="22"/>
                <w:lang w:val="de-DE"/>
              </w:rPr>
              <w:t>part</w:t>
            </w:r>
            <w:proofErr w:type="spellEnd"/>
            <w:r w:rsidRPr="00135256">
              <w:rPr>
                <w:sz w:val="22"/>
                <w:szCs w:val="22"/>
                <w:lang w:val="de-DE"/>
              </w:rPr>
              <w:t xml:space="preserve"> du </w:t>
            </w:r>
            <w:proofErr w:type="spellStart"/>
            <w:r w:rsidRPr="00135256">
              <w:rPr>
                <w:sz w:val="22"/>
                <w:szCs w:val="22"/>
                <w:lang w:val="de-DE"/>
              </w:rPr>
              <w:t>Groupe</w:t>
            </w:r>
            <w:proofErr w:type="spellEnd"/>
            <w:r w:rsidRPr="00135256">
              <w:rPr>
                <w:sz w:val="22"/>
                <w:szCs w:val="22"/>
                <w:lang w:val="de-DE"/>
              </w:rPr>
              <w:t>)</w:t>
            </w:r>
          </w:p>
        </w:tc>
        <w:tc>
          <w:tcPr>
            <w:tcW w:w="1843" w:type="dxa"/>
            <w:vAlign w:val="center"/>
          </w:tcPr>
          <w:p w14:paraId="58C9371D" w14:textId="77777777" w:rsidR="00906D9C" w:rsidRPr="00135256" w:rsidRDefault="00906D9C" w:rsidP="00906D9C">
            <w:pPr>
              <w:spacing w:before="120" w:after="120"/>
              <w:ind w:right="495"/>
              <w:jc w:val="right"/>
              <w:rPr>
                <w:sz w:val="22"/>
                <w:szCs w:val="22"/>
                <w:lang w:val="de-DE"/>
              </w:rPr>
            </w:pPr>
            <w:r>
              <w:rPr>
                <w:sz w:val="22"/>
                <w:szCs w:val="22"/>
                <w:lang w:val="de-DE"/>
              </w:rPr>
              <w:t>6 532</w:t>
            </w:r>
          </w:p>
        </w:tc>
        <w:tc>
          <w:tcPr>
            <w:tcW w:w="1843" w:type="dxa"/>
            <w:vAlign w:val="center"/>
          </w:tcPr>
          <w:p w14:paraId="3A544773" w14:textId="77777777" w:rsidR="00906D9C" w:rsidRPr="00135256" w:rsidRDefault="00F50330" w:rsidP="00906D9C">
            <w:pPr>
              <w:tabs>
                <w:tab w:val="left" w:pos="930"/>
              </w:tabs>
              <w:spacing w:before="120" w:after="120"/>
              <w:ind w:left="363" w:right="504"/>
              <w:jc w:val="right"/>
              <w:rPr>
                <w:sz w:val="22"/>
                <w:szCs w:val="22"/>
                <w:lang w:val="de-DE"/>
              </w:rPr>
            </w:pPr>
            <w:r>
              <w:rPr>
                <w:sz w:val="22"/>
                <w:szCs w:val="22"/>
                <w:lang w:val="de-DE"/>
              </w:rPr>
              <w:t>8 481</w:t>
            </w:r>
          </w:p>
        </w:tc>
        <w:tc>
          <w:tcPr>
            <w:tcW w:w="1843" w:type="dxa"/>
            <w:vAlign w:val="center"/>
          </w:tcPr>
          <w:p w14:paraId="4E45E08A" w14:textId="77777777" w:rsidR="00906D9C" w:rsidRPr="00B045FF" w:rsidRDefault="00F50330" w:rsidP="00906D9C">
            <w:pPr>
              <w:spacing w:before="120" w:after="120"/>
              <w:jc w:val="center"/>
              <w:rPr>
                <w:sz w:val="22"/>
                <w:szCs w:val="22"/>
                <w:lang w:val="de-DE"/>
              </w:rPr>
            </w:pPr>
            <w:r>
              <w:rPr>
                <w:sz w:val="22"/>
                <w:szCs w:val="22"/>
                <w:lang w:val="de-DE"/>
              </w:rPr>
              <w:t>+ 30 %</w:t>
            </w:r>
          </w:p>
        </w:tc>
      </w:tr>
      <w:tr w:rsidR="00906D9C" w:rsidRPr="00C134BD" w14:paraId="362D5743" w14:textId="77777777" w:rsidTr="00BE4987">
        <w:tc>
          <w:tcPr>
            <w:tcW w:w="3472" w:type="dxa"/>
            <w:vAlign w:val="center"/>
          </w:tcPr>
          <w:p w14:paraId="1F22250A" w14:textId="77777777" w:rsidR="00906D9C" w:rsidRPr="00135256" w:rsidRDefault="00906D9C" w:rsidP="00906D9C">
            <w:pPr>
              <w:spacing w:before="120" w:after="120"/>
              <w:jc w:val="both"/>
              <w:rPr>
                <w:sz w:val="22"/>
                <w:szCs w:val="22"/>
                <w:lang w:val="de-DE"/>
              </w:rPr>
            </w:pPr>
            <w:proofErr w:type="spellStart"/>
            <w:r w:rsidRPr="00135256">
              <w:rPr>
                <w:sz w:val="22"/>
                <w:szCs w:val="22"/>
                <w:lang w:val="de-DE"/>
              </w:rPr>
              <w:t>Dette</w:t>
            </w:r>
            <w:proofErr w:type="spellEnd"/>
            <w:r w:rsidRPr="00135256">
              <w:rPr>
                <w:sz w:val="22"/>
                <w:szCs w:val="22"/>
                <w:lang w:val="de-DE"/>
              </w:rPr>
              <w:t xml:space="preserve"> </w:t>
            </w:r>
            <w:proofErr w:type="spellStart"/>
            <w:r w:rsidRPr="00135256">
              <w:rPr>
                <w:sz w:val="22"/>
                <w:szCs w:val="22"/>
                <w:lang w:val="de-DE"/>
              </w:rPr>
              <w:t>financière</w:t>
            </w:r>
            <w:proofErr w:type="spellEnd"/>
            <w:r w:rsidRPr="00135256">
              <w:rPr>
                <w:sz w:val="22"/>
                <w:szCs w:val="22"/>
                <w:lang w:val="de-DE"/>
              </w:rPr>
              <w:t xml:space="preserve"> nette</w:t>
            </w:r>
          </w:p>
        </w:tc>
        <w:tc>
          <w:tcPr>
            <w:tcW w:w="1843" w:type="dxa"/>
            <w:vAlign w:val="center"/>
          </w:tcPr>
          <w:p w14:paraId="7BF3BE7B" w14:textId="77777777" w:rsidR="00906D9C" w:rsidRPr="00135256" w:rsidRDefault="00906D9C" w:rsidP="00906D9C">
            <w:pPr>
              <w:tabs>
                <w:tab w:val="left" w:pos="930"/>
              </w:tabs>
              <w:spacing w:before="120" w:after="120"/>
              <w:ind w:left="363" w:right="504"/>
              <w:jc w:val="right"/>
              <w:rPr>
                <w:sz w:val="22"/>
                <w:szCs w:val="22"/>
                <w:lang w:val="de-DE"/>
              </w:rPr>
            </w:pPr>
            <w:r>
              <w:rPr>
                <w:sz w:val="22"/>
                <w:szCs w:val="22"/>
                <w:lang w:val="de-DE"/>
              </w:rPr>
              <w:t>11 117</w:t>
            </w:r>
          </w:p>
        </w:tc>
        <w:tc>
          <w:tcPr>
            <w:tcW w:w="1843" w:type="dxa"/>
            <w:vAlign w:val="center"/>
          </w:tcPr>
          <w:p w14:paraId="50DF6A52" w14:textId="77777777" w:rsidR="00906D9C" w:rsidRPr="00135256" w:rsidRDefault="00F50330" w:rsidP="00906D9C">
            <w:pPr>
              <w:tabs>
                <w:tab w:val="left" w:pos="930"/>
              </w:tabs>
              <w:spacing w:before="120" w:after="120"/>
              <w:ind w:left="363" w:right="504"/>
              <w:jc w:val="right"/>
              <w:rPr>
                <w:sz w:val="22"/>
                <w:szCs w:val="22"/>
                <w:lang w:val="de-DE"/>
              </w:rPr>
            </w:pPr>
            <w:r>
              <w:rPr>
                <w:sz w:val="22"/>
                <w:szCs w:val="22"/>
                <w:lang w:val="de-DE"/>
              </w:rPr>
              <w:t>12 465</w:t>
            </w:r>
          </w:p>
        </w:tc>
        <w:tc>
          <w:tcPr>
            <w:tcW w:w="1843" w:type="dxa"/>
            <w:vAlign w:val="center"/>
          </w:tcPr>
          <w:p w14:paraId="25FEAC86" w14:textId="77777777" w:rsidR="00906D9C" w:rsidRPr="00135256" w:rsidRDefault="00F50330" w:rsidP="00906D9C">
            <w:pPr>
              <w:spacing w:before="120" w:after="120"/>
              <w:jc w:val="center"/>
              <w:rPr>
                <w:sz w:val="22"/>
                <w:szCs w:val="22"/>
                <w:lang w:val="de-DE"/>
              </w:rPr>
            </w:pPr>
            <w:r>
              <w:rPr>
                <w:sz w:val="22"/>
                <w:szCs w:val="22"/>
                <w:lang w:val="de-DE"/>
              </w:rPr>
              <w:t>+ 12 %</w:t>
            </w:r>
          </w:p>
        </w:tc>
      </w:tr>
      <w:tr w:rsidR="00906D9C" w:rsidRPr="00C134BD" w14:paraId="5C5E132D" w14:textId="77777777" w:rsidTr="00BE4987">
        <w:tc>
          <w:tcPr>
            <w:tcW w:w="3472" w:type="dxa"/>
            <w:vAlign w:val="center"/>
          </w:tcPr>
          <w:p w14:paraId="0479833B" w14:textId="77777777" w:rsidR="00906D9C" w:rsidRPr="00135256" w:rsidRDefault="00906D9C" w:rsidP="00906D9C">
            <w:pPr>
              <w:spacing w:before="120" w:after="120"/>
              <w:jc w:val="both"/>
              <w:rPr>
                <w:sz w:val="22"/>
                <w:szCs w:val="22"/>
                <w:lang w:val="de-DE"/>
              </w:rPr>
            </w:pPr>
            <w:proofErr w:type="spellStart"/>
            <w:r w:rsidRPr="00135256">
              <w:rPr>
                <w:sz w:val="22"/>
                <w:szCs w:val="22"/>
                <w:lang w:val="de-DE"/>
              </w:rPr>
              <w:t>Capitaux</w:t>
            </w:r>
            <w:proofErr w:type="spellEnd"/>
            <w:r w:rsidRPr="00135256">
              <w:rPr>
                <w:sz w:val="22"/>
                <w:szCs w:val="22"/>
                <w:lang w:val="de-DE"/>
              </w:rPr>
              <w:t xml:space="preserve"> propres</w:t>
            </w:r>
          </w:p>
        </w:tc>
        <w:tc>
          <w:tcPr>
            <w:tcW w:w="1843" w:type="dxa"/>
            <w:vAlign w:val="center"/>
          </w:tcPr>
          <w:p w14:paraId="44AC1266" w14:textId="77777777" w:rsidR="00906D9C" w:rsidRPr="00135256" w:rsidRDefault="00906D9C" w:rsidP="00906D9C">
            <w:pPr>
              <w:spacing w:before="120" w:after="120"/>
              <w:ind w:right="495"/>
              <w:jc w:val="right"/>
              <w:rPr>
                <w:sz w:val="22"/>
                <w:szCs w:val="22"/>
                <w:lang w:val="de-DE"/>
              </w:rPr>
            </w:pPr>
            <w:r>
              <w:rPr>
                <w:sz w:val="22"/>
                <w:szCs w:val="22"/>
                <w:lang w:val="de-DE"/>
              </w:rPr>
              <w:t>52 713</w:t>
            </w:r>
          </w:p>
        </w:tc>
        <w:tc>
          <w:tcPr>
            <w:tcW w:w="1843" w:type="dxa"/>
            <w:vAlign w:val="center"/>
          </w:tcPr>
          <w:p w14:paraId="184AB417" w14:textId="77777777" w:rsidR="00906D9C" w:rsidRPr="00135256" w:rsidRDefault="00F50330" w:rsidP="00906D9C">
            <w:pPr>
              <w:tabs>
                <w:tab w:val="left" w:pos="930"/>
              </w:tabs>
              <w:spacing w:before="120" w:after="120"/>
              <w:ind w:left="363" w:right="504"/>
              <w:jc w:val="right"/>
              <w:rPr>
                <w:sz w:val="22"/>
                <w:szCs w:val="22"/>
                <w:lang w:val="de-DE"/>
              </w:rPr>
            </w:pPr>
            <w:r>
              <w:rPr>
                <w:sz w:val="22"/>
                <w:szCs w:val="22"/>
                <w:lang w:val="de-DE"/>
              </w:rPr>
              <w:t xml:space="preserve">59 </w:t>
            </w:r>
            <w:r w:rsidR="00A65A04">
              <w:rPr>
                <w:sz w:val="22"/>
                <w:szCs w:val="22"/>
                <w:lang w:val="de-DE"/>
              </w:rPr>
              <w:t>449</w:t>
            </w:r>
          </w:p>
        </w:tc>
        <w:tc>
          <w:tcPr>
            <w:tcW w:w="1843" w:type="dxa"/>
            <w:vAlign w:val="center"/>
          </w:tcPr>
          <w:p w14:paraId="04EB9274" w14:textId="77777777" w:rsidR="00906D9C" w:rsidRPr="00135256" w:rsidRDefault="00F50330" w:rsidP="00906D9C">
            <w:pPr>
              <w:spacing w:before="120" w:after="120"/>
              <w:jc w:val="center"/>
              <w:rPr>
                <w:sz w:val="22"/>
                <w:szCs w:val="22"/>
                <w:lang w:val="de-DE"/>
              </w:rPr>
            </w:pPr>
            <w:r>
              <w:rPr>
                <w:sz w:val="22"/>
                <w:szCs w:val="22"/>
                <w:lang w:val="de-DE"/>
              </w:rPr>
              <w:t>+ 1</w:t>
            </w:r>
            <w:r w:rsidR="00A65A04">
              <w:rPr>
                <w:sz w:val="22"/>
                <w:szCs w:val="22"/>
                <w:lang w:val="de-DE"/>
              </w:rPr>
              <w:t>3</w:t>
            </w:r>
            <w:r>
              <w:rPr>
                <w:sz w:val="22"/>
                <w:szCs w:val="22"/>
                <w:lang w:val="de-DE"/>
              </w:rPr>
              <w:t xml:space="preserve"> %</w:t>
            </w:r>
          </w:p>
        </w:tc>
      </w:tr>
      <w:bookmarkEnd w:id="2"/>
    </w:tbl>
    <w:p w14:paraId="2012978A" w14:textId="77777777" w:rsidR="008854D0" w:rsidRPr="00FA5784" w:rsidRDefault="008854D0" w:rsidP="00885262">
      <w:pPr>
        <w:rPr>
          <w:i/>
          <w:iCs/>
          <w:color w:val="000000"/>
          <w:sz w:val="18"/>
          <w:szCs w:val="18"/>
          <w:lang w:val="fr-FR"/>
        </w:rPr>
      </w:pPr>
    </w:p>
    <w:p w14:paraId="044C5C15" w14:textId="77777777" w:rsidR="00D4048D" w:rsidRPr="00D4048D" w:rsidRDefault="00D4048D" w:rsidP="00D4048D">
      <w:pPr>
        <w:rPr>
          <w:rFonts w:eastAsia="LVMH"/>
          <w:color w:val="000000"/>
          <w:sz w:val="24"/>
          <w:szCs w:val="24"/>
          <w:lang w:val="fr-FR" w:eastAsia="en-US"/>
        </w:rPr>
      </w:pPr>
      <w:r w:rsidRPr="00D4048D">
        <w:rPr>
          <w:rFonts w:eastAsia="LVMH"/>
          <w:color w:val="000000"/>
          <w:sz w:val="24"/>
          <w:szCs w:val="24"/>
          <w:lang w:val="fr-FR" w:eastAsia="en-US"/>
        </w:rPr>
        <w:t xml:space="preserve">Par groupe d’activités, l’évolution des </w:t>
      </w:r>
      <w:r w:rsidRPr="00D4048D">
        <w:rPr>
          <w:rFonts w:eastAsia="LVMH"/>
          <w:b/>
          <w:bCs/>
          <w:color w:val="000000"/>
          <w:sz w:val="24"/>
          <w:szCs w:val="24"/>
          <w:lang w:val="fr-FR" w:eastAsia="en-US"/>
        </w:rPr>
        <w:t>ventes</w:t>
      </w:r>
      <w:r w:rsidRPr="00D4048D">
        <w:rPr>
          <w:rFonts w:eastAsia="LVMH"/>
          <w:color w:val="000000"/>
          <w:sz w:val="24"/>
          <w:szCs w:val="24"/>
          <w:lang w:val="fr-FR" w:eastAsia="en-US"/>
        </w:rPr>
        <w:t xml:space="preserve"> est la suivante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01"/>
        <w:gridCol w:w="1559"/>
        <w:gridCol w:w="1559"/>
        <w:gridCol w:w="1560"/>
      </w:tblGrid>
      <w:tr w:rsidR="00DC5ED8" w:rsidRPr="00D4048D" w14:paraId="62D37291" w14:textId="77777777" w:rsidTr="00BE4987">
        <w:trPr>
          <w:trHeight w:val="921"/>
        </w:trPr>
        <w:tc>
          <w:tcPr>
            <w:tcW w:w="2660" w:type="dxa"/>
            <w:shd w:val="clear" w:color="auto" w:fill="auto"/>
            <w:vAlign w:val="center"/>
          </w:tcPr>
          <w:p w14:paraId="00754808" w14:textId="77777777" w:rsidR="00DC5ED8" w:rsidRPr="00D4048D" w:rsidRDefault="00DC5ED8" w:rsidP="00D4048D">
            <w:pPr>
              <w:spacing w:before="20"/>
              <w:rPr>
                <w:rFonts w:eastAsia="LVMH"/>
                <w:i/>
                <w:iCs/>
                <w:color w:val="000000"/>
                <w:sz w:val="22"/>
                <w:szCs w:val="22"/>
                <w:lang w:val="fr-FR" w:eastAsia="en-US"/>
              </w:rPr>
            </w:pPr>
            <w:r w:rsidRPr="00D4048D">
              <w:rPr>
                <w:rFonts w:eastAsia="LVMH"/>
                <w:i/>
                <w:iCs/>
                <w:color w:val="000000"/>
                <w:sz w:val="22"/>
                <w:szCs w:val="22"/>
                <w:lang w:val="fr-FR" w:eastAsia="en-US"/>
              </w:rPr>
              <w:t>En millions d’euros</w:t>
            </w:r>
          </w:p>
        </w:tc>
        <w:tc>
          <w:tcPr>
            <w:tcW w:w="1701" w:type="dxa"/>
            <w:shd w:val="clear" w:color="auto" w:fill="auto"/>
            <w:vAlign w:val="center"/>
          </w:tcPr>
          <w:p w14:paraId="2E590970" w14:textId="77777777" w:rsidR="00DC5ED8" w:rsidRPr="00D4048D" w:rsidRDefault="00DC5ED8" w:rsidP="00D4048D">
            <w:pPr>
              <w:spacing w:before="20"/>
              <w:jc w:val="center"/>
              <w:rPr>
                <w:rFonts w:eastAsia="LVMH"/>
                <w:b/>
                <w:bCs/>
                <w:color w:val="000000"/>
                <w:sz w:val="22"/>
                <w:szCs w:val="22"/>
                <w:lang w:val="fr-FR" w:eastAsia="en-US"/>
              </w:rPr>
            </w:pPr>
            <w:r w:rsidRPr="00D4048D">
              <w:rPr>
                <w:rFonts w:eastAsia="LVMH"/>
                <w:b/>
                <w:bCs/>
                <w:color w:val="000000"/>
                <w:sz w:val="22"/>
                <w:szCs w:val="22"/>
                <w:lang w:val="fr-FR" w:eastAsia="en-US"/>
              </w:rPr>
              <w:t>1</w:t>
            </w:r>
            <w:r w:rsidR="005418F2" w:rsidRPr="005418F2">
              <w:rPr>
                <w:rFonts w:eastAsia="LVMH"/>
                <w:b/>
                <w:bCs/>
                <w:color w:val="000000"/>
                <w:sz w:val="22"/>
                <w:szCs w:val="22"/>
                <w:vertAlign w:val="superscript"/>
                <w:lang w:val="fr-FR" w:eastAsia="en-US"/>
              </w:rPr>
              <w:t>er</w:t>
            </w:r>
            <w:r w:rsidRPr="00D4048D">
              <w:rPr>
                <w:rFonts w:eastAsia="LVMH"/>
                <w:b/>
                <w:bCs/>
                <w:color w:val="000000"/>
                <w:sz w:val="22"/>
                <w:szCs w:val="22"/>
                <w:lang w:val="fr-FR" w:eastAsia="en-US"/>
              </w:rPr>
              <w:t xml:space="preserve"> </w:t>
            </w:r>
            <w:r>
              <w:rPr>
                <w:rFonts w:eastAsia="LVMH"/>
                <w:b/>
                <w:bCs/>
                <w:color w:val="000000"/>
                <w:sz w:val="22"/>
                <w:szCs w:val="22"/>
                <w:lang w:val="fr-FR" w:eastAsia="en-US"/>
              </w:rPr>
              <w:t>semestre</w:t>
            </w:r>
            <w:r w:rsidRPr="00D4048D">
              <w:rPr>
                <w:rFonts w:eastAsia="LVMH"/>
                <w:b/>
                <w:bCs/>
                <w:color w:val="000000"/>
                <w:sz w:val="22"/>
                <w:szCs w:val="22"/>
                <w:lang w:val="fr-FR" w:eastAsia="en-US"/>
              </w:rPr>
              <w:t xml:space="preserve"> 202</w:t>
            </w:r>
            <w:r w:rsidR="00906D9C">
              <w:rPr>
                <w:rFonts w:eastAsia="LVMH"/>
                <w:b/>
                <w:bCs/>
                <w:color w:val="000000"/>
                <w:sz w:val="22"/>
                <w:szCs w:val="22"/>
                <w:lang w:val="fr-FR" w:eastAsia="en-US"/>
              </w:rPr>
              <w:t>2</w:t>
            </w:r>
          </w:p>
        </w:tc>
        <w:tc>
          <w:tcPr>
            <w:tcW w:w="1559" w:type="dxa"/>
            <w:shd w:val="clear" w:color="auto" w:fill="auto"/>
            <w:vAlign w:val="center"/>
          </w:tcPr>
          <w:p w14:paraId="28CBDFD0" w14:textId="77777777" w:rsidR="00DC5ED8" w:rsidRPr="00D4048D" w:rsidRDefault="00DC5ED8" w:rsidP="00CD3F2E">
            <w:pPr>
              <w:spacing w:before="20"/>
              <w:jc w:val="center"/>
              <w:rPr>
                <w:rFonts w:eastAsia="LVMH"/>
                <w:b/>
                <w:bCs/>
                <w:color w:val="000000"/>
                <w:sz w:val="22"/>
                <w:szCs w:val="22"/>
                <w:lang w:val="fr-FR" w:eastAsia="en-US"/>
              </w:rPr>
            </w:pPr>
            <w:r w:rsidRPr="00D4048D">
              <w:rPr>
                <w:rFonts w:eastAsia="LVMH"/>
                <w:b/>
                <w:bCs/>
                <w:color w:val="000000"/>
                <w:sz w:val="22"/>
                <w:szCs w:val="22"/>
                <w:lang w:val="fr-FR" w:eastAsia="en-US"/>
              </w:rPr>
              <w:t>1</w:t>
            </w:r>
            <w:r w:rsidR="005418F2" w:rsidRPr="005418F2">
              <w:rPr>
                <w:rFonts w:eastAsia="LVMH"/>
                <w:b/>
                <w:bCs/>
                <w:color w:val="000000"/>
                <w:sz w:val="22"/>
                <w:szCs w:val="22"/>
                <w:vertAlign w:val="superscript"/>
                <w:lang w:val="fr-FR" w:eastAsia="en-US"/>
              </w:rPr>
              <w:t>er</w:t>
            </w:r>
            <w:r w:rsidRPr="00D4048D">
              <w:rPr>
                <w:rFonts w:eastAsia="LVMH"/>
                <w:b/>
                <w:bCs/>
                <w:color w:val="000000"/>
                <w:sz w:val="22"/>
                <w:szCs w:val="22"/>
                <w:lang w:val="fr-FR" w:eastAsia="en-US"/>
              </w:rPr>
              <w:t xml:space="preserve"> </w:t>
            </w:r>
            <w:r>
              <w:rPr>
                <w:rFonts w:eastAsia="LVMH"/>
                <w:b/>
                <w:bCs/>
                <w:color w:val="000000"/>
                <w:sz w:val="22"/>
                <w:szCs w:val="22"/>
                <w:lang w:val="fr-FR" w:eastAsia="en-US"/>
              </w:rPr>
              <w:t>semestre</w:t>
            </w:r>
            <w:r w:rsidRPr="00D4048D">
              <w:rPr>
                <w:rFonts w:eastAsia="LVMH"/>
                <w:b/>
                <w:bCs/>
                <w:color w:val="000000"/>
                <w:sz w:val="22"/>
                <w:szCs w:val="22"/>
                <w:lang w:val="fr-FR" w:eastAsia="en-US"/>
              </w:rPr>
              <w:t xml:space="preserve"> 202</w:t>
            </w:r>
            <w:r w:rsidR="00906D9C">
              <w:rPr>
                <w:rFonts w:eastAsia="LVMH"/>
                <w:b/>
                <w:bCs/>
                <w:color w:val="000000"/>
                <w:sz w:val="22"/>
                <w:szCs w:val="22"/>
                <w:lang w:val="fr-FR" w:eastAsia="en-US"/>
              </w:rPr>
              <w:t>3</w:t>
            </w:r>
          </w:p>
        </w:tc>
        <w:tc>
          <w:tcPr>
            <w:tcW w:w="3119" w:type="dxa"/>
            <w:gridSpan w:val="2"/>
            <w:shd w:val="clear" w:color="auto" w:fill="auto"/>
            <w:vAlign w:val="center"/>
          </w:tcPr>
          <w:p w14:paraId="3055F08A" w14:textId="77777777" w:rsidR="00022921" w:rsidRDefault="004971D1" w:rsidP="00022921">
            <w:pPr>
              <w:spacing w:before="20"/>
              <w:jc w:val="center"/>
              <w:rPr>
                <w:rFonts w:eastAsia="LVMH"/>
                <w:b/>
                <w:bCs/>
                <w:color w:val="000000"/>
                <w:sz w:val="22"/>
                <w:szCs w:val="22"/>
                <w:lang w:val="fr-FR" w:eastAsia="en-US"/>
              </w:rPr>
            </w:pPr>
            <w:r>
              <w:rPr>
                <w:rFonts w:eastAsia="LVMH"/>
                <w:b/>
                <w:bCs/>
                <w:color w:val="000000"/>
                <w:sz w:val="22"/>
                <w:szCs w:val="22"/>
                <w:lang w:val="fr-FR" w:eastAsia="en-US"/>
              </w:rPr>
              <w:t>% v</w:t>
            </w:r>
            <w:r w:rsidR="00DC5ED8" w:rsidRPr="00D4048D">
              <w:rPr>
                <w:rFonts w:eastAsia="LVMH"/>
                <w:b/>
                <w:bCs/>
                <w:color w:val="000000"/>
                <w:sz w:val="22"/>
                <w:szCs w:val="22"/>
                <w:lang w:val="fr-FR" w:eastAsia="en-US"/>
              </w:rPr>
              <w:t xml:space="preserve">ariation </w:t>
            </w:r>
          </w:p>
          <w:p w14:paraId="6BF9A247" w14:textId="77777777" w:rsidR="00DC5ED8" w:rsidRPr="00D4048D" w:rsidRDefault="00941AA6" w:rsidP="00022921">
            <w:pPr>
              <w:spacing w:before="20"/>
              <w:jc w:val="center"/>
              <w:rPr>
                <w:rFonts w:eastAsia="LVMH"/>
                <w:b/>
                <w:bCs/>
                <w:color w:val="000000"/>
                <w:sz w:val="22"/>
                <w:szCs w:val="22"/>
                <w:lang w:val="fr-FR" w:eastAsia="en-US"/>
              </w:rPr>
            </w:pPr>
            <w:r>
              <w:rPr>
                <w:rFonts w:eastAsia="LVMH"/>
                <w:b/>
                <w:bCs/>
                <w:color w:val="000000"/>
                <w:sz w:val="22"/>
                <w:szCs w:val="22"/>
                <w:lang w:val="fr-FR" w:eastAsia="en-US"/>
              </w:rPr>
              <w:t xml:space="preserve">       </w:t>
            </w:r>
            <w:r w:rsidR="00DC5ED8" w:rsidRPr="008449A7">
              <w:rPr>
                <w:rFonts w:eastAsia="LVMH"/>
                <w:b/>
                <w:bCs/>
                <w:color w:val="000000"/>
                <w:sz w:val="22"/>
                <w:szCs w:val="22"/>
                <w:lang w:val="fr-FR" w:eastAsia="en-US"/>
              </w:rPr>
              <w:t xml:space="preserve">Publiée          </w:t>
            </w:r>
            <w:r w:rsidR="00CC02A1">
              <w:rPr>
                <w:rFonts w:eastAsia="LVMH"/>
                <w:b/>
                <w:bCs/>
                <w:color w:val="000000"/>
                <w:sz w:val="22"/>
                <w:szCs w:val="22"/>
                <w:lang w:val="fr-FR" w:eastAsia="en-US"/>
              </w:rPr>
              <w:t xml:space="preserve"> </w:t>
            </w:r>
            <w:r w:rsidR="00DC5ED8" w:rsidRPr="008449A7">
              <w:rPr>
                <w:rFonts w:eastAsia="LVMH"/>
                <w:b/>
                <w:bCs/>
                <w:color w:val="000000"/>
                <w:sz w:val="22"/>
                <w:szCs w:val="22"/>
                <w:lang w:val="fr-FR" w:eastAsia="en-US"/>
              </w:rPr>
              <w:t>Organique</w:t>
            </w:r>
            <w:r w:rsidR="00F83F20" w:rsidRPr="005418F2">
              <w:rPr>
                <w:rFonts w:eastAsia="LVMH"/>
                <w:b/>
                <w:bCs/>
                <w:color w:val="000000"/>
                <w:sz w:val="22"/>
                <w:szCs w:val="22"/>
                <w:lang w:val="fr-FR" w:eastAsia="en-US"/>
              </w:rPr>
              <w:t>*</w:t>
            </w:r>
          </w:p>
        </w:tc>
      </w:tr>
      <w:tr w:rsidR="00906D9C" w:rsidRPr="00D4048D" w14:paraId="6D1172F3" w14:textId="77777777" w:rsidTr="00BE4987">
        <w:trPr>
          <w:trHeight w:val="454"/>
        </w:trPr>
        <w:tc>
          <w:tcPr>
            <w:tcW w:w="2660" w:type="dxa"/>
            <w:shd w:val="clear" w:color="auto" w:fill="auto"/>
            <w:vAlign w:val="center"/>
          </w:tcPr>
          <w:p w14:paraId="64DF1524" w14:textId="77777777" w:rsidR="00906D9C" w:rsidRPr="00D4048D" w:rsidRDefault="00906D9C" w:rsidP="00BF6207">
            <w:pPr>
              <w:rPr>
                <w:rFonts w:eastAsia="LVMH"/>
                <w:sz w:val="22"/>
                <w:szCs w:val="22"/>
                <w:lang w:val="fr-FR" w:eastAsia="en-US"/>
              </w:rPr>
            </w:pPr>
            <w:r w:rsidRPr="00D4048D">
              <w:rPr>
                <w:rFonts w:eastAsia="LVMH"/>
                <w:sz w:val="22"/>
                <w:szCs w:val="22"/>
                <w:lang w:val="fr-FR" w:eastAsia="en-US"/>
              </w:rPr>
              <w:t>Vins &amp; Spiritueux</w:t>
            </w:r>
          </w:p>
        </w:tc>
        <w:tc>
          <w:tcPr>
            <w:tcW w:w="1701" w:type="dxa"/>
            <w:shd w:val="clear" w:color="auto" w:fill="auto"/>
            <w:vAlign w:val="center"/>
          </w:tcPr>
          <w:p w14:paraId="5D3AF891" w14:textId="77777777" w:rsidR="00906D9C" w:rsidRPr="00D4048D" w:rsidRDefault="005418F2" w:rsidP="00F71827">
            <w:pPr>
              <w:ind w:left="-102" w:right="461"/>
              <w:jc w:val="right"/>
              <w:rPr>
                <w:rFonts w:eastAsia="LVMH"/>
                <w:sz w:val="22"/>
                <w:szCs w:val="22"/>
                <w:lang w:val="fr-FR" w:eastAsia="en-US"/>
              </w:rPr>
            </w:pPr>
            <w:r>
              <w:rPr>
                <w:rFonts w:eastAsia="LVMH"/>
                <w:sz w:val="22"/>
                <w:szCs w:val="22"/>
                <w:lang w:val="fr-FR" w:eastAsia="en-US"/>
              </w:rPr>
              <w:t xml:space="preserve">3 </w:t>
            </w:r>
            <w:r w:rsidR="00906D9C">
              <w:rPr>
                <w:rFonts w:eastAsia="LVMH"/>
                <w:sz w:val="22"/>
                <w:szCs w:val="22"/>
                <w:lang w:val="fr-FR" w:eastAsia="en-US"/>
              </w:rPr>
              <w:t>327</w:t>
            </w:r>
          </w:p>
        </w:tc>
        <w:tc>
          <w:tcPr>
            <w:tcW w:w="1559" w:type="dxa"/>
            <w:shd w:val="clear" w:color="auto" w:fill="auto"/>
            <w:vAlign w:val="center"/>
          </w:tcPr>
          <w:p w14:paraId="3A5EC17F" w14:textId="77777777" w:rsidR="00906D9C" w:rsidRPr="00D4048D" w:rsidRDefault="005418F2" w:rsidP="00BE4987">
            <w:pPr>
              <w:ind w:left="47" w:right="320"/>
              <w:jc w:val="right"/>
              <w:rPr>
                <w:rFonts w:eastAsia="LVMH"/>
                <w:sz w:val="22"/>
                <w:szCs w:val="22"/>
                <w:lang w:val="fr-FR" w:eastAsia="en-US"/>
              </w:rPr>
            </w:pPr>
            <w:r>
              <w:rPr>
                <w:rFonts w:eastAsia="LVMH"/>
                <w:sz w:val="22"/>
                <w:szCs w:val="22"/>
                <w:lang w:val="fr-FR" w:eastAsia="en-US"/>
              </w:rPr>
              <w:t xml:space="preserve">3 </w:t>
            </w:r>
            <w:r w:rsidR="006C3860">
              <w:rPr>
                <w:rFonts w:eastAsia="LVMH"/>
                <w:sz w:val="22"/>
                <w:szCs w:val="22"/>
                <w:lang w:val="fr-FR" w:eastAsia="en-US"/>
              </w:rPr>
              <w:t>181</w:t>
            </w:r>
          </w:p>
        </w:tc>
        <w:tc>
          <w:tcPr>
            <w:tcW w:w="1559" w:type="dxa"/>
            <w:shd w:val="clear" w:color="auto" w:fill="auto"/>
            <w:vAlign w:val="center"/>
          </w:tcPr>
          <w:p w14:paraId="6031F169" w14:textId="77777777" w:rsidR="00906D9C" w:rsidRPr="00D4048D" w:rsidRDefault="005418F2" w:rsidP="00F71827">
            <w:pPr>
              <w:tabs>
                <w:tab w:val="left" w:pos="889"/>
              </w:tabs>
              <w:ind w:left="-104" w:right="462"/>
              <w:jc w:val="right"/>
              <w:rPr>
                <w:rFonts w:eastAsia="LVMH"/>
                <w:sz w:val="22"/>
                <w:szCs w:val="22"/>
                <w:lang w:val="fr-FR" w:eastAsia="en-US"/>
              </w:rPr>
            </w:pPr>
            <w:r>
              <w:rPr>
                <w:rFonts w:eastAsia="LVMH"/>
                <w:sz w:val="22"/>
                <w:szCs w:val="22"/>
                <w:lang w:val="fr-FR" w:eastAsia="en-US"/>
              </w:rPr>
              <w:t xml:space="preserve">- </w:t>
            </w:r>
            <w:r w:rsidR="006C3860">
              <w:rPr>
                <w:rFonts w:eastAsia="LVMH"/>
                <w:sz w:val="22"/>
                <w:szCs w:val="22"/>
                <w:lang w:val="fr-FR" w:eastAsia="en-US"/>
              </w:rPr>
              <w:t>4</w:t>
            </w:r>
            <w:r w:rsidR="00906D9C">
              <w:rPr>
                <w:rFonts w:eastAsia="LVMH"/>
                <w:sz w:val="22"/>
                <w:szCs w:val="22"/>
                <w:lang w:val="fr-FR" w:eastAsia="en-US"/>
              </w:rPr>
              <w:t xml:space="preserve"> %</w:t>
            </w:r>
          </w:p>
        </w:tc>
        <w:tc>
          <w:tcPr>
            <w:tcW w:w="1560" w:type="dxa"/>
            <w:shd w:val="clear" w:color="auto" w:fill="auto"/>
            <w:vAlign w:val="center"/>
          </w:tcPr>
          <w:p w14:paraId="770745E6" w14:textId="77777777" w:rsidR="00906D9C" w:rsidRPr="00D4048D" w:rsidRDefault="005418F2" w:rsidP="0094057C">
            <w:pPr>
              <w:ind w:right="457"/>
              <w:jc w:val="right"/>
              <w:rPr>
                <w:rFonts w:eastAsia="LVMH"/>
                <w:sz w:val="22"/>
                <w:szCs w:val="22"/>
                <w:lang w:val="fr-FR" w:eastAsia="en-US"/>
              </w:rPr>
            </w:pPr>
            <w:r>
              <w:rPr>
                <w:rFonts w:eastAsia="LVMH"/>
                <w:sz w:val="22"/>
                <w:szCs w:val="22"/>
                <w:lang w:val="fr-FR" w:eastAsia="en-US"/>
              </w:rPr>
              <w:t xml:space="preserve">- </w:t>
            </w:r>
            <w:r w:rsidR="006C3860">
              <w:rPr>
                <w:rFonts w:eastAsia="LVMH"/>
                <w:sz w:val="22"/>
                <w:szCs w:val="22"/>
                <w:lang w:val="fr-FR" w:eastAsia="en-US"/>
              </w:rPr>
              <w:t>3</w:t>
            </w:r>
            <w:r w:rsidR="00906D9C">
              <w:rPr>
                <w:rFonts w:eastAsia="LVMH"/>
                <w:sz w:val="22"/>
                <w:szCs w:val="22"/>
                <w:lang w:val="fr-FR" w:eastAsia="en-US"/>
              </w:rPr>
              <w:t xml:space="preserve"> %</w:t>
            </w:r>
          </w:p>
        </w:tc>
      </w:tr>
      <w:tr w:rsidR="00906D9C" w:rsidRPr="00D4048D" w14:paraId="547B6D9D" w14:textId="77777777" w:rsidTr="00BE4987">
        <w:trPr>
          <w:trHeight w:val="454"/>
        </w:trPr>
        <w:tc>
          <w:tcPr>
            <w:tcW w:w="2660" w:type="dxa"/>
            <w:shd w:val="clear" w:color="auto" w:fill="auto"/>
            <w:vAlign w:val="center"/>
          </w:tcPr>
          <w:p w14:paraId="5173D1C8" w14:textId="77777777" w:rsidR="00906D9C" w:rsidRPr="00D4048D" w:rsidRDefault="00906D9C" w:rsidP="00BF6207">
            <w:pPr>
              <w:rPr>
                <w:rFonts w:eastAsia="LVMH"/>
                <w:sz w:val="22"/>
                <w:szCs w:val="22"/>
                <w:lang w:val="fr-FR" w:eastAsia="en-US"/>
              </w:rPr>
            </w:pPr>
            <w:r w:rsidRPr="00D4048D">
              <w:rPr>
                <w:rFonts w:eastAsia="LVMH"/>
                <w:sz w:val="22"/>
                <w:szCs w:val="22"/>
                <w:lang w:val="fr-FR" w:eastAsia="en-US"/>
              </w:rPr>
              <w:t>Mode &amp; Maroquinerie</w:t>
            </w:r>
          </w:p>
        </w:tc>
        <w:tc>
          <w:tcPr>
            <w:tcW w:w="1701" w:type="dxa"/>
            <w:shd w:val="clear" w:color="auto" w:fill="auto"/>
            <w:vAlign w:val="center"/>
          </w:tcPr>
          <w:p w14:paraId="6343C916" w14:textId="77777777" w:rsidR="00906D9C" w:rsidRPr="00C526FA" w:rsidRDefault="00906D9C" w:rsidP="00F71827">
            <w:pPr>
              <w:ind w:left="-102" w:right="461"/>
              <w:jc w:val="right"/>
              <w:rPr>
                <w:sz w:val="22"/>
                <w:szCs w:val="22"/>
                <w:lang w:val="de-DE"/>
              </w:rPr>
            </w:pPr>
            <w:r>
              <w:rPr>
                <w:rFonts w:eastAsia="LVMH"/>
                <w:sz w:val="22"/>
                <w:szCs w:val="22"/>
                <w:lang w:val="fr-FR" w:eastAsia="en-US"/>
              </w:rPr>
              <w:t>18 136</w:t>
            </w:r>
          </w:p>
        </w:tc>
        <w:tc>
          <w:tcPr>
            <w:tcW w:w="1559" w:type="dxa"/>
            <w:shd w:val="clear" w:color="auto" w:fill="auto"/>
            <w:vAlign w:val="center"/>
          </w:tcPr>
          <w:p w14:paraId="3A862C41" w14:textId="77777777" w:rsidR="00906D9C" w:rsidRPr="00D4048D" w:rsidRDefault="00FF6A43" w:rsidP="00BE4987">
            <w:pPr>
              <w:ind w:left="47" w:right="320"/>
              <w:jc w:val="right"/>
              <w:rPr>
                <w:rFonts w:eastAsia="LVMH"/>
                <w:sz w:val="22"/>
                <w:szCs w:val="22"/>
                <w:lang w:val="fr-FR" w:eastAsia="en-US"/>
              </w:rPr>
            </w:pPr>
            <w:r>
              <w:rPr>
                <w:rFonts w:eastAsia="LVMH"/>
                <w:sz w:val="22"/>
                <w:szCs w:val="22"/>
                <w:lang w:val="fr-FR" w:eastAsia="en-US"/>
              </w:rPr>
              <w:t>21 162</w:t>
            </w:r>
          </w:p>
        </w:tc>
        <w:tc>
          <w:tcPr>
            <w:tcW w:w="1559" w:type="dxa"/>
            <w:shd w:val="clear" w:color="auto" w:fill="auto"/>
            <w:vAlign w:val="center"/>
          </w:tcPr>
          <w:p w14:paraId="485C9C98" w14:textId="77777777" w:rsidR="00906D9C" w:rsidRPr="00D4048D" w:rsidRDefault="00906D9C" w:rsidP="00F71827">
            <w:pPr>
              <w:tabs>
                <w:tab w:val="left" w:pos="889"/>
              </w:tabs>
              <w:ind w:left="-104" w:right="462"/>
              <w:jc w:val="right"/>
              <w:rPr>
                <w:rFonts w:eastAsia="LVMH"/>
                <w:sz w:val="22"/>
                <w:szCs w:val="22"/>
                <w:lang w:val="fr-FR" w:eastAsia="en-US"/>
              </w:rPr>
            </w:pPr>
            <w:r>
              <w:rPr>
                <w:rFonts w:eastAsia="LVMH"/>
                <w:sz w:val="22"/>
                <w:szCs w:val="22"/>
                <w:lang w:val="fr-FR" w:eastAsia="en-US"/>
              </w:rPr>
              <w:t xml:space="preserve">+ </w:t>
            </w:r>
            <w:r w:rsidR="006C3860">
              <w:rPr>
                <w:rFonts w:eastAsia="LVMH"/>
                <w:sz w:val="22"/>
                <w:szCs w:val="22"/>
                <w:lang w:val="fr-FR" w:eastAsia="en-US"/>
              </w:rPr>
              <w:t>17</w:t>
            </w:r>
            <w:r>
              <w:rPr>
                <w:rFonts w:eastAsia="LVMH"/>
                <w:sz w:val="22"/>
                <w:szCs w:val="22"/>
                <w:lang w:val="fr-FR" w:eastAsia="en-US"/>
              </w:rPr>
              <w:t xml:space="preserve"> %</w:t>
            </w:r>
          </w:p>
        </w:tc>
        <w:tc>
          <w:tcPr>
            <w:tcW w:w="1560" w:type="dxa"/>
            <w:shd w:val="clear" w:color="auto" w:fill="auto"/>
            <w:vAlign w:val="center"/>
          </w:tcPr>
          <w:p w14:paraId="23F04B09" w14:textId="77777777" w:rsidR="00906D9C" w:rsidRPr="00D4048D" w:rsidRDefault="00906D9C" w:rsidP="0094057C">
            <w:pPr>
              <w:ind w:right="457"/>
              <w:jc w:val="right"/>
              <w:rPr>
                <w:rFonts w:eastAsia="LVMH"/>
                <w:sz w:val="22"/>
                <w:szCs w:val="22"/>
                <w:lang w:val="fr-FR" w:eastAsia="en-US"/>
              </w:rPr>
            </w:pPr>
            <w:r>
              <w:rPr>
                <w:rFonts w:eastAsia="LVMH"/>
                <w:sz w:val="22"/>
                <w:szCs w:val="22"/>
                <w:lang w:val="fr-FR" w:eastAsia="en-US"/>
              </w:rPr>
              <w:t xml:space="preserve">+ </w:t>
            </w:r>
            <w:r w:rsidR="00FF6A43">
              <w:rPr>
                <w:rFonts w:eastAsia="LVMH"/>
                <w:sz w:val="22"/>
                <w:szCs w:val="22"/>
                <w:lang w:val="fr-FR" w:eastAsia="en-US"/>
              </w:rPr>
              <w:t>20</w:t>
            </w:r>
            <w:r>
              <w:rPr>
                <w:rFonts w:eastAsia="LVMH"/>
                <w:sz w:val="22"/>
                <w:szCs w:val="22"/>
                <w:lang w:val="fr-FR" w:eastAsia="en-US"/>
              </w:rPr>
              <w:t xml:space="preserve"> %</w:t>
            </w:r>
          </w:p>
        </w:tc>
      </w:tr>
      <w:tr w:rsidR="00906D9C" w:rsidRPr="00D4048D" w14:paraId="7846E3B6" w14:textId="77777777" w:rsidTr="00BE4987">
        <w:trPr>
          <w:trHeight w:val="454"/>
        </w:trPr>
        <w:tc>
          <w:tcPr>
            <w:tcW w:w="2660" w:type="dxa"/>
            <w:shd w:val="clear" w:color="auto" w:fill="auto"/>
            <w:vAlign w:val="center"/>
          </w:tcPr>
          <w:p w14:paraId="1E28F59B" w14:textId="77777777" w:rsidR="00906D9C" w:rsidRPr="00D4048D" w:rsidRDefault="00906D9C" w:rsidP="00BF6207">
            <w:pPr>
              <w:rPr>
                <w:rFonts w:eastAsia="LVMH"/>
                <w:sz w:val="22"/>
                <w:szCs w:val="22"/>
                <w:lang w:val="fr-FR" w:eastAsia="en-US"/>
              </w:rPr>
            </w:pPr>
            <w:r w:rsidRPr="00D4048D">
              <w:rPr>
                <w:rFonts w:eastAsia="LVMH"/>
                <w:sz w:val="22"/>
                <w:szCs w:val="22"/>
                <w:lang w:val="fr-FR" w:eastAsia="en-US"/>
              </w:rPr>
              <w:t>Parfums &amp; Cosmétiques</w:t>
            </w:r>
          </w:p>
        </w:tc>
        <w:tc>
          <w:tcPr>
            <w:tcW w:w="1701" w:type="dxa"/>
            <w:shd w:val="clear" w:color="auto" w:fill="auto"/>
            <w:vAlign w:val="center"/>
          </w:tcPr>
          <w:p w14:paraId="2462FF6C" w14:textId="77777777" w:rsidR="00906D9C" w:rsidRPr="00D4048D" w:rsidRDefault="00906D9C" w:rsidP="00F71827">
            <w:pPr>
              <w:ind w:left="-102" w:right="461"/>
              <w:jc w:val="right"/>
              <w:rPr>
                <w:rFonts w:eastAsia="LVMH"/>
                <w:sz w:val="22"/>
                <w:szCs w:val="22"/>
                <w:lang w:val="fr-FR" w:eastAsia="en-US"/>
              </w:rPr>
            </w:pPr>
            <w:r>
              <w:rPr>
                <w:rFonts w:eastAsia="LVMH"/>
                <w:sz w:val="22"/>
                <w:szCs w:val="22"/>
                <w:lang w:val="fr-FR" w:eastAsia="en-US"/>
              </w:rPr>
              <w:t>3 618</w:t>
            </w:r>
          </w:p>
        </w:tc>
        <w:tc>
          <w:tcPr>
            <w:tcW w:w="1559" w:type="dxa"/>
            <w:shd w:val="clear" w:color="auto" w:fill="auto"/>
            <w:vAlign w:val="center"/>
          </w:tcPr>
          <w:p w14:paraId="04ED89FC" w14:textId="77777777" w:rsidR="00906D9C" w:rsidRPr="00D4048D" w:rsidRDefault="006C3860" w:rsidP="00BE4987">
            <w:pPr>
              <w:ind w:left="47" w:right="320"/>
              <w:jc w:val="right"/>
              <w:rPr>
                <w:rFonts w:eastAsia="LVMH"/>
                <w:sz w:val="22"/>
                <w:szCs w:val="22"/>
                <w:lang w:val="fr-FR" w:eastAsia="en-US"/>
              </w:rPr>
            </w:pPr>
            <w:r>
              <w:rPr>
                <w:rFonts w:eastAsia="LVMH"/>
                <w:sz w:val="22"/>
                <w:szCs w:val="22"/>
                <w:lang w:val="fr-FR" w:eastAsia="en-US"/>
              </w:rPr>
              <w:t>4 028</w:t>
            </w:r>
          </w:p>
        </w:tc>
        <w:tc>
          <w:tcPr>
            <w:tcW w:w="1559" w:type="dxa"/>
            <w:shd w:val="clear" w:color="auto" w:fill="auto"/>
            <w:vAlign w:val="center"/>
          </w:tcPr>
          <w:p w14:paraId="27D3416B" w14:textId="77777777" w:rsidR="00906D9C" w:rsidRPr="00D4048D" w:rsidRDefault="00906D9C" w:rsidP="00F71827">
            <w:pPr>
              <w:tabs>
                <w:tab w:val="left" w:pos="889"/>
              </w:tabs>
              <w:ind w:left="-104" w:right="462"/>
              <w:jc w:val="right"/>
              <w:rPr>
                <w:rFonts w:eastAsia="LVMH"/>
                <w:sz w:val="22"/>
                <w:szCs w:val="22"/>
                <w:lang w:val="fr-FR" w:eastAsia="en-US"/>
              </w:rPr>
            </w:pPr>
            <w:r>
              <w:rPr>
                <w:rFonts w:eastAsia="LVMH"/>
                <w:sz w:val="22"/>
                <w:szCs w:val="22"/>
                <w:lang w:val="fr-FR" w:eastAsia="en-US"/>
              </w:rPr>
              <w:t xml:space="preserve">+ </w:t>
            </w:r>
            <w:r w:rsidR="006C3860">
              <w:rPr>
                <w:rFonts w:eastAsia="LVMH"/>
                <w:sz w:val="22"/>
                <w:szCs w:val="22"/>
                <w:lang w:val="fr-FR" w:eastAsia="en-US"/>
              </w:rPr>
              <w:t>11</w:t>
            </w:r>
            <w:r>
              <w:rPr>
                <w:rFonts w:eastAsia="LVMH"/>
                <w:sz w:val="22"/>
                <w:szCs w:val="22"/>
                <w:lang w:val="fr-FR" w:eastAsia="en-US"/>
              </w:rPr>
              <w:t xml:space="preserve"> %</w:t>
            </w:r>
          </w:p>
        </w:tc>
        <w:tc>
          <w:tcPr>
            <w:tcW w:w="1560" w:type="dxa"/>
            <w:shd w:val="clear" w:color="auto" w:fill="auto"/>
            <w:vAlign w:val="center"/>
          </w:tcPr>
          <w:p w14:paraId="6E817A8A" w14:textId="77777777" w:rsidR="00906D9C" w:rsidRPr="00D4048D" w:rsidRDefault="00906D9C" w:rsidP="0094057C">
            <w:pPr>
              <w:ind w:right="457"/>
              <w:jc w:val="right"/>
              <w:rPr>
                <w:rFonts w:eastAsia="LVMH"/>
                <w:sz w:val="22"/>
                <w:szCs w:val="22"/>
                <w:lang w:val="fr-FR" w:eastAsia="en-US"/>
              </w:rPr>
            </w:pPr>
            <w:r>
              <w:rPr>
                <w:rFonts w:eastAsia="LVMH"/>
                <w:sz w:val="22"/>
                <w:szCs w:val="22"/>
                <w:lang w:val="fr-FR" w:eastAsia="en-US"/>
              </w:rPr>
              <w:t xml:space="preserve">+ </w:t>
            </w:r>
            <w:r w:rsidR="006C3860">
              <w:rPr>
                <w:rFonts w:eastAsia="LVMH"/>
                <w:sz w:val="22"/>
                <w:szCs w:val="22"/>
                <w:lang w:val="fr-FR" w:eastAsia="en-US"/>
              </w:rPr>
              <w:t>13</w:t>
            </w:r>
            <w:r>
              <w:rPr>
                <w:rFonts w:eastAsia="LVMH"/>
                <w:sz w:val="22"/>
                <w:szCs w:val="22"/>
                <w:lang w:val="fr-FR" w:eastAsia="en-US"/>
              </w:rPr>
              <w:t xml:space="preserve"> %</w:t>
            </w:r>
          </w:p>
        </w:tc>
      </w:tr>
      <w:tr w:rsidR="00906D9C" w:rsidRPr="00D4048D" w14:paraId="75C92FC9" w14:textId="77777777" w:rsidTr="00BE4987">
        <w:trPr>
          <w:trHeight w:val="454"/>
        </w:trPr>
        <w:tc>
          <w:tcPr>
            <w:tcW w:w="2660" w:type="dxa"/>
            <w:shd w:val="clear" w:color="auto" w:fill="auto"/>
            <w:vAlign w:val="center"/>
          </w:tcPr>
          <w:p w14:paraId="529AA664" w14:textId="77777777" w:rsidR="00906D9C" w:rsidRPr="00D4048D" w:rsidRDefault="00906D9C" w:rsidP="00BF6207">
            <w:pPr>
              <w:rPr>
                <w:rFonts w:eastAsia="LVMH"/>
                <w:sz w:val="22"/>
                <w:szCs w:val="22"/>
                <w:lang w:val="fr-FR" w:eastAsia="en-US"/>
              </w:rPr>
            </w:pPr>
            <w:r w:rsidRPr="00D4048D">
              <w:rPr>
                <w:rFonts w:eastAsia="LVMH"/>
                <w:sz w:val="22"/>
                <w:szCs w:val="22"/>
                <w:lang w:val="fr-FR" w:eastAsia="en-US"/>
              </w:rPr>
              <w:t>Montres &amp; Joaillerie</w:t>
            </w:r>
          </w:p>
        </w:tc>
        <w:tc>
          <w:tcPr>
            <w:tcW w:w="1701" w:type="dxa"/>
            <w:shd w:val="clear" w:color="auto" w:fill="auto"/>
            <w:vAlign w:val="center"/>
          </w:tcPr>
          <w:p w14:paraId="11EE2C1D" w14:textId="77777777" w:rsidR="00906D9C" w:rsidRPr="00D4048D" w:rsidRDefault="00906D9C" w:rsidP="00F71827">
            <w:pPr>
              <w:ind w:left="-102" w:right="461"/>
              <w:jc w:val="right"/>
              <w:rPr>
                <w:rFonts w:eastAsia="LVMH"/>
                <w:sz w:val="22"/>
                <w:szCs w:val="22"/>
                <w:lang w:val="fr-FR" w:eastAsia="en-US"/>
              </w:rPr>
            </w:pPr>
            <w:r>
              <w:rPr>
                <w:rFonts w:eastAsia="LVMH"/>
                <w:sz w:val="22"/>
                <w:szCs w:val="22"/>
                <w:lang w:val="fr-FR" w:eastAsia="en-US"/>
              </w:rPr>
              <w:t>4 909</w:t>
            </w:r>
          </w:p>
        </w:tc>
        <w:tc>
          <w:tcPr>
            <w:tcW w:w="1559" w:type="dxa"/>
            <w:shd w:val="clear" w:color="auto" w:fill="auto"/>
            <w:vAlign w:val="center"/>
          </w:tcPr>
          <w:p w14:paraId="791F0995" w14:textId="77777777" w:rsidR="00906D9C" w:rsidRPr="00D4048D" w:rsidRDefault="006C3860" w:rsidP="00BE4987">
            <w:pPr>
              <w:ind w:left="47" w:right="320"/>
              <w:jc w:val="right"/>
              <w:rPr>
                <w:rFonts w:eastAsia="LVMH"/>
                <w:sz w:val="22"/>
                <w:szCs w:val="22"/>
                <w:lang w:val="fr-FR" w:eastAsia="en-US"/>
              </w:rPr>
            </w:pPr>
            <w:r>
              <w:rPr>
                <w:rFonts w:eastAsia="LVMH"/>
                <w:sz w:val="22"/>
                <w:szCs w:val="22"/>
                <w:lang w:val="fr-FR" w:eastAsia="en-US"/>
              </w:rPr>
              <w:t>5 427</w:t>
            </w:r>
          </w:p>
        </w:tc>
        <w:tc>
          <w:tcPr>
            <w:tcW w:w="1559" w:type="dxa"/>
            <w:shd w:val="clear" w:color="auto" w:fill="auto"/>
            <w:vAlign w:val="center"/>
          </w:tcPr>
          <w:p w14:paraId="36BF8A0C" w14:textId="77777777" w:rsidR="00906D9C" w:rsidRPr="00D4048D" w:rsidRDefault="00906D9C" w:rsidP="00F71827">
            <w:pPr>
              <w:tabs>
                <w:tab w:val="left" w:pos="889"/>
              </w:tabs>
              <w:ind w:left="-104" w:right="462"/>
              <w:jc w:val="right"/>
              <w:rPr>
                <w:rFonts w:eastAsia="LVMH"/>
                <w:sz w:val="22"/>
                <w:szCs w:val="22"/>
                <w:lang w:val="fr-FR" w:eastAsia="en-US"/>
              </w:rPr>
            </w:pPr>
            <w:r>
              <w:rPr>
                <w:rFonts w:eastAsia="LVMH"/>
                <w:sz w:val="22"/>
                <w:szCs w:val="22"/>
                <w:lang w:val="fr-FR" w:eastAsia="en-US"/>
              </w:rPr>
              <w:t xml:space="preserve">+ </w:t>
            </w:r>
            <w:r w:rsidR="006C3860">
              <w:rPr>
                <w:rFonts w:eastAsia="LVMH"/>
                <w:sz w:val="22"/>
                <w:szCs w:val="22"/>
                <w:lang w:val="fr-FR" w:eastAsia="en-US"/>
              </w:rPr>
              <w:t>11</w:t>
            </w:r>
            <w:r>
              <w:rPr>
                <w:rFonts w:eastAsia="LVMH"/>
                <w:sz w:val="22"/>
                <w:szCs w:val="22"/>
                <w:lang w:val="fr-FR" w:eastAsia="en-US"/>
              </w:rPr>
              <w:t xml:space="preserve"> %</w:t>
            </w:r>
          </w:p>
        </w:tc>
        <w:tc>
          <w:tcPr>
            <w:tcW w:w="1560" w:type="dxa"/>
            <w:shd w:val="clear" w:color="auto" w:fill="auto"/>
            <w:vAlign w:val="center"/>
          </w:tcPr>
          <w:p w14:paraId="6D1FBE01" w14:textId="77777777" w:rsidR="00906D9C" w:rsidRPr="00D4048D" w:rsidRDefault="00906D9C" w:rsidP="0094057C">
            <w:pPr>
              <w:ind w:right="457"/>
              <w:jc w:val="right"/>
              <w:rPr>
                <w:rFonts w:eastAsia="LVMH"/>
                <w:sz w:val="22"/>
                <w:szCs w:val="22"/>
                <w:lang w:val="fr-FR" w:eastAsia="en-US"/>
              </w:rPr>
            </w:pPr>
            <w:r>
              <w:rPr>
                <w:rFonts w:eastAsia="LVMH"/>
                <w:sz w:val="22"/>
                <w:szCs w:val="22"/>
                <w:lang w:val="fr-FR" w:eastAsia="en-US"/>
              </w:rPr>
              <w:t xml:space="preserve">+ </w:t>
            </w:r>
            <w:r w:rsidR="006C3860">
              <w:rPr>
                <w:rFonts w:eastAsia="LVMH"/>
                <w:sz w:val="22"/>
                <w:szCs w:val="22"/>
                <w:lang w:val="fr-FR" w:eastAsia="en-US"/>
              </w:rPr>
              <w:t>13</w:t>
            </w:r>
            <w:r>
              <w:rPr>
                <w:rFonts w:eastAsia="LVMH"/>
                <w:sz w:val="22"/>
                <w:szCs w:val="22"/>
                <w:lang w:val="fr-FR" w:eastAsia="en-US"/>
              </w:rPr>
              <w:t xml:space="preserve"> %</w:t>
            </w:r>
          </w:p>
        </w:tc>
      </w:tr>
      <w:tr w:rsidR="00906D9C" w:rsidRPr="00D4048D" w14:paraId="7479AA02" w14:textId="77777777" w:rsidTr="00BE4987">
        <w:trPr>
          <w:trHeight w:val="454"/>
        </w:trPr>
        <w:tc>
          <w:tcPr>
            <w:tcW w:w="2660" w:type="dxa"/>
            <w:shd w:val="clear" w:color="auto" w:fill="auto"/>
            <w:vAlign w:val="center"/>
          </w:tcPr>
          <w:p w14:paraId="423B22F0" w14:textId="77777777" w:rsidR="00906D9C" w:rsidRPr="00D4048D" w:rsidRDefault="00906D9C" w:rsidP="00BF6207">
            <w:pPr>
              <w:rPr>
                <w:rFonts w:eastAsia="LVMH"/>
                <w:sz w:val="22"/>
                <w:szCs w:val="22"/>
                <w:lang w:val="fr-FR" w:eastAsia="en-US"/>
              </w:rPr>
            </w:pPr>
            <w:r w:rsidRPr="00D4048D">
              <w:rPr>
                <w:rFonts w:eastAsia="LVMH"/>
                <w:sz w:val="22"/>
                <w:szCs w:val="22"/>
                <w:lang w:val="fr-FR" w:eastAsia="en-US"/>
              </w:rPr>
              <w:t>Distribution sélective</w:t>
            </w:r>
          </w:p>
        </w:tc>
        <w:tc>
          <w:tcPr>
            <w:tcW w:w="1701" w:type="dxa"/>
            <w:shd w:val="clear" w:color="auto" w:fill="auto"/>
            <w:vAlign w:val="center"/>
          </w:tcPr>
          <w:p w14:paraId="71B820D5" w14:textId="77777777" w:rsidR="00906D9C" w:rsidRPr="00D4048D" w:rsidRDefault="00906D9C" w:rsidP="00F71827">
            <w:pPr>
              <w:ind w:left="-102" w:right="461"/>
              <w:jc w:val="right"/>
              <w:rPr>
                <w:rFonts w:eastAsia="LVMH"/>
                <w:sz w:val="22"/>
                <w:szCs w:val="22"/>
                <w:lang w:val="fr-FR" w:eastAsia="en-US"/>
              </w:rPr>
            </w:pPr>
            <w:r>
              <w:rPr>
                <w:rFonts w:eastAsia="LVMH"/>
                <w:sz w:val="22"/>
                <w:szCs w:val="22"/>
                <w:lang w:val="fr-FR" w:eastAsia="en-US"/>
              </w:rPr>
              <w:t>6 630</w:t>
            </w:r>
          </w:p>
        </w:tc>
        <w:tc>
          <w:tcPr>
            <w:tcW w:w="1559" w:type="dxa"/>
            <w:shd w:val="clear" w:color="auto" w:fill="auto"/>
            <w:vAlign w:val="center"/>
          </w:tcPr>
          <w:p w14:paraId="3FD08ECE" w14:textId="77777777" w:rsidR="00906D9C" w:rsidRPr="00D4048D" w:rsidRDefault="00FF6A43" w:rsidP="00BE4987">
            <w:pPr>
              <w:ind w:left="47" w:right="320"/>
              <w:jc w:val="right"/>
              <w:rPr>
                <w:rFonts w:eastAsia="LVMH"/>
                <w:sz w:val="22"/>
                <w:szCs w:val="22"/>
                <w:lang w:val="fr-FR" w:eastAsia="en-US"/>
              </w:rPr>
            </w:pPr>
            <w:r>
              <w:rPr>
                <w:rFonts w:eastAsia="LVMH"/>
                <w:sz w:val="22"/>
                <w:szCs w:val="22"/>
                <w:lang w:val="fr-FR" w:eastAsia="en-US"/>
              </w:rPr>
              <w:t>8 355</w:t>
            </w:r>
          </w:p>
        </w:tc>
        <w:tc>
          <w:tcPr>
            <w:tcW w:w="1559" w:type="dxa"/>
            <w:shd w:val="clear" w:color="auto" w:fill="auto"/>
            <w:vAlign w:val="center"/>
          </w:tcPr>
          <w:p w14:paraId="3F033F64" w14:textId="77777777" w:rsidR="00906D9C" w:rsidRPr="00D4048D" w:rsidRDefault="00906D9C" w:rsidP="00F71827">
            <w:pPr>
              <w:tabs>
                <w:tab w:val="left" w:pos="889"/>
              </w:tabs>
              <w:ind w:left="-104" w:right="462"/>
              <w:jc w:val="right"/>
              <w:rPr>
                <w:rFonts w:eastAsia="LVMH"/>
                <w:sz w:val="22"/>
                <w:szCs w:val="22"/>
                <w:lang w:val="fr-FR" w:eastAsia="en-US"/>
              </w:rPr>
            </w:pPr>
            <w:r>
              <w:rPr>
                <w:rFonts w:eastAsia="LVMH"/>
                <w:sz w:val="22"/>
                <w:szCs w:val="22"/>
                <w:lang w:val="fr-FR" w:eastAsia="en-US"/>
              </w:rPr>
              <w:t xml:space="preserve">+ </w:t>
            </w:r>
            <w:r w:rsidR="006C3860">
              <w:rPr>
                <w:rFonts w:eastAsia="LVMH"/>
                <w:sz w:val="22"/>
                <w:szCs w:val="22"/>
                <w:lang w:val="fr-FR" w:eastAsia="en-US"/>
              </w:rPr>
              <w:t>26</w:t>
            </w:r>
            <w:r>
              <w:rPr>
                <w:rFonts w:eastAsia="LVMH"/>
                <w:sz w:val="22"/>
                <w:szCs w:val="22"/>
                <w:lang w:val="fr-FR" w:eastAsia="en-US"/>
              </w:rPr>
              <w:t xml:space="preserve"> %</w:t>
            </w:r>
          </w:p>
        </w:tc>
        <w:tc>
          <w:tcPr>
            <w:tcW w:w="1560" w:type="dxa"/>
            <w:shd w:val="clear" w:color="auto" w:fill="auto"/>
            <w:vAlign w:val="center"/>
          </w:tcPr>
          <w:p w14:paraId="7AA3AEE6" w14:textId="77777777" w:rsidR="00906D9C" w:rsidRPr="00D4048D" w:rsidRDefault="00906D9C" w:rsidP="0094057C">
            <w:pPr>
              <w:tabs>
                <w:tab w:val="left" w:pos="997"/>
              </w:tabs>
              <w:ind w:right="457"/>
              <w:jc w:val="right"/>
              <w:rPr>
                <w:rFonts w:eastAsia="LVMH"/>
                <w:sz w:val="22"/>
                <w:szCs w:val="22"/>
                <w:lang w:val="fr-FR" w:eastAsia="en-US"/>
              </w:rPr>
            </w:pPr>
            <w:r>
              <w:rPr>
                <w:rFonts w:eastAsia="LVMH"/>
                <w:sz w:val="22"/>
                <w:szCs w:val="22"/>
                <w:lang w:val="fr-FR" w:eastAsia="en-US"/>
              </w:rPr>
              <w:t xml:space="preserve">+ </w:t>
            </w:r>
            <w:r w:rsidR="00FF6A43">
              <w:rPr>
                <w:rFonts w:eastAsia="LVMH"/>
                <w:sz w:val="22"/>
                <w:szCs w:val="22"/>
                <w:lang w:val="fr-FR" w:eastAsia="en-US"/>
              </w:rPr>
              <w:t>2</w:t>
            </w:r>
            <w:r w:rsidR="00E17119">
              <w:rPr>
                <w:rFonts w:eastAsia="LVMH"/>
                <w:sz w:val="22"/>
                <w:szCs w:val="22"/>
                <w:lang w:val="fr-FR" w:eastAsia="en-US"/>
              </w:rPr>
              <w:t>6</w:t>
            </w:r>
            <w:r>
              <w:rPr>
                <w:rFonts w:eastAsia="LVMH"/>
                <w:sz w:val="22"/>
                <w:szCs w:val="22"/>
                <w:lang w:val="fr-FR" w:eastAsia="en-US"/>
              </w:rPr>
              <w:t xml:space="preserve"> %</w:t>
            </w:r>
          </w:p>
        </w:tc>
      </w:tr>
      <w:tr w:rsidR="00906D9C" w:rsidRPr="00D4048D" w14:paraId="1264FB3F" w14:textId="77777777" w:rsidTr="00BE4987">
        <w:trPr>
          <w:trHeight w:val="454"/>
        </w:trPr>
        <w:tc>
          <w:tcPr>
            <w:tcW w:w="2660" w:type="dxa"/>
            <w:shd w:val="clear" w:color="auto" w:fill="auto"/>
            <w:vAlign w:val="center"/>
          </w:tcPr>
          <w:p w14:paraId="7A7C03B0" w14:textId="77777777" w:rsidR="00906D9C" w:rsidRPr="00D4048D" w:rsidRDefault="00906D9C" w:rsidP="00BF6207">
            <w:pPr>
              <w:rPr>
                <w:rFonts w:eastAsia="LVMH"/>
                <w:sz w:val="22"/>
                <w:szCs w:val="22"/>
                <w:lang w:val="fr-FR" w:eastAsia="en-US"/>
              </w:rPr>
            </w:pPr>
            <w:r w:rsidRPr="00D4048D">
              <w:rPr>
                <w:rFonts w:eastAsia="LVMH"/>
                <w:sz w:val="22"/>
                <w:szCs w:val="22"/>
                <w:lang w:val="fr-FR" w:eastAsia="en-US"/>
              </w:rPr>
              <w:t>Autres activités et éliminations</w:t>
            </w:r>
          </w:p>
        </w:tc>
        <w:tc>
          <w:tcPr>
            <w:tcW w:w="1701" w:type="dxa"/>
            <w:shd w:val="clear" w:color="auto" w:fill="auto"/>
            <w:vAlign w:val="center"/>
          </w:tcPr>
          <w:p w14:paraId="02A6659C" w14:textId="77777777" w:rsidR="00906D9C" w:rsidRPr="00D4048D" w:rsidRDefault="00906D9C" w:rsidP="00F71827">
            <w:pPr>
              <w:ind w:left="-102" w:right="461"/>
              <w:jc w:val="right"/>
              <w:rPr>
                <w:rFonts w:eastAsia="LVMH"/>
                <w:sz w:val="22"/>
                <w:szCs w:val="22"/>
                <w:lang w:val="fr-FR" w:eastAsia="en-US"/>
              </w:rPr>
            </w:pPr>
            <w:r>
              <w:rPr>
                <w:rFonts w:eastAsia="LVMH"/>
                <w:sz w:val="22"/>
                <w:szCs w:val="22"/>
                <w:lang w:val="fr-FR" w:eastAsia="en-US"/>
              </w:rPr>
              <w:t>109</w:t>
            </w:r>
          </w:p>
        </w:tc>
        <w:tc>
          <w:tcPr>
            <w:tcW w:w="1559" w:type="dxa"/>
            <w:shd w:val="clear" w:color="auto" w:fill="auto"/>
            <w:vAlign w:val="center"/>
          </w:tcPr>
          <w:p w14:paraId="4494D016" w14:textId="77777777" w:rsidR="00906D9C" w:rsidRPr="00D4048D" w:rsidRDefault="006C3860" w:rsidP="00BE4987">
            <w:pPr>
              <w:ind w:left="47" w:right="320"/>
              <w:jc w:val="right"/>
              <w:rPr>
                <w:rFonts w:eastAsia="LVMH"/>
                <w:sz w:val="22"/>
                <w:szCs w:val="22"/>
                <w:lang w:val="fr-FR" w:eastAsia="en-US"/>
              </w:rPr>
            </w:pPr>
            <w:r>
              <w:rPr>
                <w:rFonts w:eastAsia="LVMH"/>
                <w:sz w:val="22"/>
                <w:szCs w:val="22"/>
                <w:lang w:val="fr-FR" w:eastAsia="en-US"/>
              </w:rPr>
              <w:t>87</w:t>
            </w:r>
          </w:p>
        </w:tc>
        <w:tc>
          <w:tcPr>
            <w:tcW w:w="1559" w:type="dxa"/>
            <w:shd w:val="clear" w:color="auto" w:fill="auto"/>
            <w:vAlign w:val="center"/>
          </w:tcPr>
          <w:p w14:paraId="1BFFC19A" w14:textId="77777777" w:rsidR="00906D9C" w:rsidRPr="00D4048D" w:rsidRDefault="00906D9C" w:rsidP="00F71827">
            <w:pPr>
              <w:tabs>
                <w:tab w:val="left" w:pos="747"/>
                <w:tab w:val="left" w:pos="889"/>
              </w:tabs>
              <w:ind w:left="-104" w:right="462"/>
              <w:jc w:val="right"/>
              <w:rPr>
                <w:rFonts w:eastAsia="LVMH"/>
                <w:sz w:val="22"/>
                <w:szCs w:val="22"/>
                <w:lang w:val="fr-FR" w:eastAsia="en-US"/>
              </w:rPr>
            </w:pPr>
            <w:r>
              <w:rPr>
                <w:rFonts w:eastAsia="LVMH"/>
                <w:sz w:val="22"/>
                <w:szCs w:val="22"/>
                <w:lang w:val="fr-FR" w:eastAsia="en-US"/>
              </w:rPr>
              <w:t>-</w:t>
            </w:r>
          </w:p>
        </w:tc>
        <w:tc>
          <w:tcPr>
            <w:tcW w:w="1560" w:type="dxa"/>
            <w:shd w:val="clear" w:color="auto" w:fill="auto"/>
            <w:vAlign w:val="center"/>
          </w:tcPr>
          <w:p w14:paraId="3DB2E0C0" w14:textId="77777777" w:rsidR="00906D9C" w:rsidRPr="00D4048D" w:rsidRDefault="00906D9C" w:rsidP="00540A81">
            <w:pPr>
              <w:ind w:right="599"/>
              <w:jc w:val="right"/>
              <w:rPr>
                <w:rFonts w:eastAsia="LVMH"/>
                <w:sz w:val="22"/>
                <w:szCs w:val="22"/>
                <w:lang w:val="fr-FR" w:eastAsia="en-US"/>
              </w:rPr>
            </w:pPr>
            <w:r>
              <w:rPr>
                <w:rFonts w:eastAsia="LVMH"/>
                <w:sz w:val="22"/>
                <w:szCs w:val="22"/>
                <w:lang w:val="fr-FR" w:eastAsia="en-US"/>
              </w:rPr>
              <w:t>-</w:t>
            </w:r>
          </w:p>
        </w:tc>
      </w:tr>
      <w:tr w:rsidR="00906D9C" w:rsidRPr="00D4048D" w14:paraId="43D3612F" w14:textId="77777777" w:rsidTr="00BE4987">
        <w:trPr>
          <w:trHeight w:hRule="exact" w:val="454"/>
        </w:trPr>
        <w:tc>
          <w:tcPr>
            <w:tcW w:w="2660" w:type="dxa"/>
            <w:shd w:val="clear" w:color="auto" w:fill="auto"/>
            <w:vAlign w:val="center"/>
          </w:tcPr>
          <w:p w14:paraId="47075D07" w14:textId="77777777" w:rsidR="00906D9C" w:rsidRPr="00D4048D" w:rsidRDefault="00906D9C" w:rsidP="00906D9C">
            <w:pPr>
              <w:rPr>
                <w:rFonts w:eastAsia="LVMH"/>
                <w:b/>
                <w:bCs/>
                <w:color w:val="000000"/>
                <w:sz w:val="22"/>
                <w:szCs w:val="22"/>
                <w:lang w:val="fr-FR" w:eastAsia="en-US"/>
              </w:rPr>
            </w:pPr>
            <w:r w:rsidRPr="00D4048D">
              <w:rPr>
                <w:rFonts w:eastAsia="LVMH"/>
                <w:b/>
                <w:bCs/>
                <w:color w:val="000000"/>
                <w:sz w:val="22"/>
                <w:szCs w:val="22"/>
                <w:lang w:val="fr-FR" w:eastAsia="en-US"/>
              </w:rPr>
              <w:t>Total LVMH</w:t>
            </w:r>
          </w:p>
        </w:tc>
        <w:tc>
          <w:tcPr>
            <w:tcW w:w="1701" w:type="dxa"/>
            <w:shd w:val="clear" w:color="auto" w:fill="auto"/>
            <w:vAlign w:val="center"/>
          </w:tcPr>
          <w:p w14:paraId="0088B7C7" w14:textId="77777777" w:rsidR="00906D9C" w:rsidRPr="00D4048D" w:rsidRDefault="00906D9C" w:rsidP="00F71827">
            <w:pPr>
              <w:ind w:left="-102" w:right="461"/>
              <w:jc w:val="right"/>
              <w:rPr>
                <w:rFonts w:eastAsia="LVMH"/>
                <w:b/>
                <w:bCs/>
                <w:color w:val="000000"/>
                <w:sz w:val="22"/>
                <w:szCs w:val="22"/>
                <w:lang w:val="fr-FR" w:eastAsia="en-US"/>
              </w:rPr>
            </w:pPr>
            <w:r>
              <w:rPr>
                <w:rFonts w:eastAsia="LVMH"/>
                <w:b/>
                <w:bCs/>
                <w:color w:val="000000"/>
                <w:sz w:val="22"/>
                <w:szCs w:val="22"/>
                <w:lang w:val="fr-FR" w:eastAsia="en-US"/>
              </w:rPr>
              <w:t>36 729</w:t>
            </w:r>
          </w:p>
        </w:tc>
        <w:tc>
          <w:tcPr>
            <w:tcW w:w="1559" w:type="dxa"/>
            <w:shd w:val="clear" w:color="auto" w:fill="auto"/>
            <w:vAlign w:val="center"/>
          </w:tcPr>
          <w:p w14:paraId="17FF05CB" w14:textId="77777777" w:rsidR="00906D9C" w:rsidRPr="00D4048D" w:rsidRDefault="006C3860" w:rsidP="00BE4987">
            <w:pPr>
              <w:ind w:left="47" w:right="320"/>
              <w:jc w:val="right"/>
              <w:rPr>
                <w:rFonts w:eastAsia="LVMH"/>
                <w:b/>
                <w:bCs/>
                <w:color w:val="000000"/>
                <w:sz w:val="22"/>
                <w:szCs w:val="22"/>
                <w:lang w:val="fr-FR" w:eastAsia="en-US"/>
              </w:rPr>
            </w:pPr>
            <w:r>
              <w:rPr>
                <w:rFonts w:eastAsia="LVMH"/>
                <w:b/>
                <w:bCs/>
                <w:color w:val="000000"/>
                <w:sz w:val="22"/>
                <w:szCs w:val="22"/>
                <w:lang w:val="fr-FR" w:eastAsia="en-US"/>
              </w:rPr>
              <w:t>42 240</w:t>
            </w:r>
          </w:p>
        </w:tc>
        <w:tc>
          <w:tcPr>
            <w:tcW w:w="1559" w:type="dxa"/>
            <w:shd w:val="clear" w:color="auto" w:fill="auto"/>
            <w:vAlign w:val="center"/>
          </w:tcPr>
          <w:p w14:paraId="2D8DEE93" w14:textId="77777777" w:rsidR="00906D9C" w:rsidRPr="00D4048D" w:rsidRDefault="00906D9C" w:rsidP="00F71827">
            <w:pPr>
              <w:tabs>
                <w:tab w:val="left" w:pos="889"/>
              </w:tabs>
              <w:ind w:left="-104" w:right="462"/>
              <w:jc w:val="right"/>
              <w:rPr>
                <w:rFonts w:eastAsia="LVMH"/>
                <w:b/>
                <w:bCs/>
                <w:color w:val="000000"/>
                <w:sz w:val="22"/>
                <w:szCs w:val="22"/>
                <w:lang w:val="fr-FR" w:eastAsia="en-US"/>
              </w:rPr>
            </w:pPr>
            <w:r>
              <w:rPr>
                <w:rFonts w:eastAsia="LVMH"/>
                <w:b/>
                <w:bCs/>
                <w:color w:val="000000"/>
                <w:sz w:val="22"/>
                <w:szCs w:val="22"/>
                <w:lang w:val="fr-FR" w:eastAsia="en-US"/>
              </w:rPr>
              <w:t xml:space="preserve">+ </w:t>
            </w:r>
            <w:r w:rsidR="006C3860">
              <w:rPr>
                <w:rFonts w:eastAsia="LVMH"/>
                <w:b/>
                <w:bCs/>
                <w:color w:val="000000"/>
                <w:sz w:val="22"/>
                <w:szCs w:val="22"/>
                <w:lang w:val="fr-FR" w:eastAsia="en-US"/>
              </w:rPr>
              <w:t>15</w:t>
            </w:r>
            <w:r>
              <w:rPr>
                <w:rFonts w:eastAsia="LVMH"/>
                <w:b/>
                <w:bCs/>
                <w:color w:val="000000"/>
                <w:sz w:val="22"/>
                <w:szCs w:val="22"/>
                <w:lang w:val="fr-FR" w:eastAsia="en-US"/>
              </w:rPr>
              <w:t xml:space="preserve"> %</w:t>
            </w:r>
          </w:p>
        </w:tc>
        <w:tc>
          <w:tcPr>
            <w:tcW w:w="1560" w:type="dxa"/>
            <w:shd w:val="clear" w:color="auto" w:fill="auto"/>
            <w:vAlign w:val="center"/>
          </w:tcPr>
          <w:p w14:paraId="39065ABA" w14:textId="77777777" w:rsidR="00906D9C" w:rsidRPr="00D4048D" w:rsidRDefault="00906D9C" w:rsidP="0094057C">
            <w:pPr>
              <w:ind w:right="457"/>
              <w:jc w:val="right"/>
              <w:rPr>
                <w:rFonts w:eastAsia="LVMH"/>
                <w:b/>
                <w:bCs/>
                <w:color w:val="000000"/>
                <w:sz w:val="22"/>
                <w:szCs w:val="22"/>
                <w:lang w:val="fr-FR" w:eastAsia="en-US"/>
              </w:rPr>
            </w:pPr>
            <w:r>
              <w:rPr>
                <w:rFonts w:eastAsia="LVMH"/>
                <w:b/>
                <w:bCs/>
                <w:color w:val="000000"/>
                <w:sz w:val="22"/>
                <w:szCs w:val="22"/>
                <w:lang w:val="fr-FR" w:eastAsia="en-US"/>
              </w:rPr>
              <w:t xml:space="preserve">+ </w:t>
            </w:r>
            <w:r w:rsidR="006C3860">
              <w:rPr>
                <w:rFonts w:eastAsia="LVMH"/>
                <w:b/>
                <w:bCs/>
                <w:color w:val="000000"/>
                <w:sz w:val="22"/>
                <w:szCs w:val="22"/>
                <w:lang w:val="fr-FR" w:eastAsia="en-US"/>
              </w:rPr>
              <w:t>17</w:t>
            </w:r>
            <w:r>
              <w:rPr>
                <w:rFonts w:eastAsia="LVMH"/>
                <w:b/>
                <w:bCs/>
                <w:color w:val="000000"/>
                <w:sz w:val="22"/>
                <w:szCs w:val="22"/>
                <w:lang w:val="fr-FR" w:eastAsia="en-US"/>
              </w:rPr>
              <w:t xml:space="preserve"> %</w:t>
            </w:r>
          </w:p>
        </w:tc>
      </w:tr>
    </w:tbl>
    <w:p w14:paraId="1F440E82" w14:textId="77777777" w:rsidR="00000B45" w:rsidRDefault="00F83F20" w:rsidP="00000B45">
      <w:pPr>
        <w:rPr>
          <w:i/>
          <w:iCs/>
          <w:color w:val="000000"/>
          <w:sz w:val="18"/>
          <w:szCs w:val="18"/>
          <w:lang w:val="fr-FR"/>
        </w:rPr>
      </w:pPr>
      <w:r>
        <w:rPr>
          <w:b/>
          <w:bCs/>
          <w:i/>
          <w:iCs/>
          <w:color w:val="000000"/>
          <w:sz w:val="18"/>
          <w:szCs w:val="18"/>
          <w:lang w:val="fr-FR"/>
        </w:rPr>
        <w:t>*</w:t>
      </w:r>
      <w:r w:rsidR="00000B45" w:rsidRPr="00FA5784">
        <w:rPr>
          <w:i/>
          <w:iCs/>
          <w:color w:val="000000"/>
          <w:sz w:val="18"/>
          <w:szCs w:val="18"/>
          <w:lang w:val="fr-FR"/>
        </w:rPr>
        <w:t xml:space="preserve"> à structure et taux de change comparables. Pour le Groupe, l’effet périmètre par rapport au premier semestre 202</w:t>
      </w:r>
      <w:r w:rsidR="00000B45">
        <w:rPr>
          <w:i/>
          <w:iCs/>
          <w:color w:val="000000"/>
          <w:sz w:val="18"/>
          <w:szCs w:val="18"/>
          <w:lang w:val="fr-FR"/>
        </w:rPr>
        <w:t>2</w:t>
      </w:r>
      <w:r w:rsidR="00000B45" w:rsidRPr="00FA5784">
        <w:rPr>
          <w:i/>
          <w:iCs/>
          <w:color w:val="000000"/>
          <w:sz w:val="18"/>
          <w:szCs w:val="18"/>
          <w:lang w:val="fr-FR"/>
        </w:rPr>
        <w:t xml:space="preserve"> est nul et l’effet de change est de </w:t>
      </w:r>
      <w:r w:rsidR="00000B45">
        <w:rPr>
          <w:i/>
          <w:iCs/>
          <w:color w:val="000000"/>
          <w:sz w:val="18"/>
          <w:szCs w:val="18"/>
          <w:lang w:val="fr-FR"/>
        </w:rPr>
        <w:t>-2</w:t>
      </w:r>
      <w:r w:rsidR="00000B45" w:rsidRPr="00FA5784">
        <w:rPr>
          <w:i/>
          <w:iCs/>
          <w:color w:val="000000"/>
          <w:sz w:val="18"/>
          <w:szCs w:val="18"/>
          <w:lang w:val="fr-FR"/>
        </w:rPr>
        <w:t xml:space="preserve"> %.</w:t>
      </w:r>
    </w:p>
    <w:p w14:paraId="10ED612E" w14:textId="77777777" w:rsidR="008854D0" w:rsidRDefault="008854D0" w:rsidP="0045414B">
      <w:pPr>
        <w:rPr>
          <w:sz w:val="22"/>
          <w:szCs w:val="22"/>
          <w:lang w:val="fr-FR"/>
        </w:rPr>
      </w:pPr>
    </w:p>
    <w:p w14:paraId="7DB5CDEA" w14:textId="77777777" w:rsidR="00C140BD" w:rsidRPr="0011304C" w:rsidRDefault="00C140BD" w:rsidP="0045414B">
      <w:pPr>
        <w:rPr>
          <w:sz w:val="22"/>
          <w:szCs w:val="22"/>
          <w:lang w:val="fr-FR"/>
        </w:rPr>
      </w:pPr>
      <w:r w:rsidRPr="0011304C">
        <w:rPr>
          <w:sz w:val="22"/>
          <w:szCs w:val="22"/>
          <w:lang w:val="fr-FR"/>
        </w:rPr>
        <w:t xml:space="preserve">Par groupe d’activités, le </w:t>
      </w:r>
      <w:r w:rsidRPr="0011304C">
        <w:rPr>
          <w:b/>
          <w:sz w:val="22"/>
          <w:szCs w:val="22"/>
          <w:lang w:val="fr-FR"/>
        </w:rPr>
        <w:t>résultat opérationnel courant</w:t>
      </w:r>
      <w:r w:rsidRPr="0011304C">
        <w:rPr>
          <w:sz w:val="22"/>
          <w:szCs w:val="22"/>
          <w:lang w:val="fr-FR"/>
        </w:rPr>
        <w:t xml:space="preserve"> a évolué comme suit :</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843"/>
        <w:gridCol w:w="1843"/>
        <w:gridCol w:w="1843"/>
      </w:tblGrid>
      <w:tr w:rsidR="00DC5ED8" w:rsidRPr="00C134BD" w14:paraId="661A37C8" w14:textId="77777777" w:rsidTr="00690DD8">
        <w:trPr>
          <w:trHeight w:val="763"/>
        </w:trPr>
        <w:tc>
          <w:tcPr>
            <w:tcW w:w="3472" w:type="dxa"/>
            <w:vAlign w:val="center"/>
          </w:tcPr>
          <w:p w14:paraId="42A990A7" w14:textId="77777777" w:rsidR="00DC5ED8" w:rsidRPr="00C134BD" w:rsidRDefault="00DC5ED8" w:rsidP="00D2093A">
            <w:pPr>
              <w:rPr>
                <w:sz w:val="22"/>
                <w:szCs w:val="22"/>
                <w:lang w:val="fr-FR"/>
              </w:rPr>
            </w:pPr>
            <w:r w:rsidRPr="00C134BD">
              <w:rPr>
                <w:sz w:val="22"/>
                <w:szCs w:val="22"/>
                <w:lang w:val="fr-FR"/>
              </w:rPr>
              <w:br w:type="page"/>
            </w:r>
            <w:r w:rsidRPr="00C134BD">
              <w:rPr>
                <w:sz w:val="22"/>
                <w:szCs w:val="22"/>
                <w:lang w:val="fr-FR"/>
              </w:rPr>
              <w:br w:type="page"/>
            </w:r>
            <w:proofErr w:type="spellStart"/>
            <w:r w:rsidRPr="00C134BD">
              <w:rPr>
                <w:i/>
                <w:sz w:val="22"/>
                <w:szCs w:val="22"/>
              </w:rPr>
              <w:t>En</w:t>
            </w:r>
            <w:proofErr w:type="spellEnd"/>
            <w:r w:rsidRPr="00C134BD">
              <w:rPr>
                <w:i/>
                <w:sz w:val="22"/>
                <w:szCs w:val="22"/>
              </w:rPr>
              <w:t xml:space="preserve"> millions </w:t>
            </w:r>
            <w:proofErr w:type="spellStart"/>
            <w:r w:rsidRPr="00C134BD">
              <w:rPr>
                <w:i/>
                <w:sz w:val="22"/>
                <w:szCs w:val="22"/>
              </w:rPr>
              <w:t>d'euros</w:t>
            </w:r>
            <w:proofErr w:type="spellEnd"/>
          </w:p>
        </w:tc>
        <w:tc>
          <w:tcPr>
            <w:tcW w:w="1843" w:type="dxa"/>
            <w:vAlign w:val="center"/>
          </w:tcPr>
          <w:p w14:paraId="7E1F403D" w14:textId="77777777" w:rsidR="00022921" w:rsidRDefault="00DC5ED8" w:rsidP="00022921">
            <w:pPr>
              <w:jc w:val="center"/>
              <w:rPr>
                <w:b/>
                <w:sz w:val="22"/>
                <w:szCs w:val="22"/>
                <w:lang w:val="fr-FR"/>
              </w:rPr>
            </w:pPr>
            <w:r>
              <w:rPr>
                <w:b/>
                <w:sz w:val="22"/>
                <w:szCs w:val="22"/>
                <w:lang w:val="fr-FR"/>
              </w:rPr>
              <w:t>1</w:t>
            </w:r>
            <w:r w:rsidR="005418F2" w:rsidRPr="005418F2">
              <w:rPr>
                <w:b/>
                <w:sz w:val="22"/>
                <w:szCs w:val="22"/>
                <w:vertAlign w:val="superscript"/>
                <w:lang w:val="fr-FR"/>
              </w:rPr>
              <w:t>er</w:t>
            </w:r>
            <w:r>
              <w:rPr>
                <w:b/>
                <w:sz w:val="22"/>
                <w:szCs w:val="22"/>
                <w:lang w:val="fr-FR"/>
              </w:rPr>
              <w:t xml:space="preserve"> semestre </w:t>
            </w:r>
            <w:r w:rsidRPr="00C134BD">
              <w:rPr>
                <w:b/>
                <w:sz w:val="22"/>
                <w:szCs w:val="22"/>
                <w:lang w:val="fr-FR"/>
              </w:rPr>
              <w:t xml:space="preserve"> </w:t>
            </w:r>
          </w:p>
          <w:p w14:paraId="0FF061BE" w14:textId="77777777" w:rsidR="00DC5ED8" w:rsidRPr="00C134BD" w:rsidRDefault="00DC5ED8" w:rsidP="00022921">
            <w:pPr>
              <w:jc w:val="center"/>
              <w:rPr>
                <w:b/>
                <w:sz w:val="22"/>
                <w:szCs w:val="22"/>
                <w:lang w:val="fr-FR"/>
              </w:rPr>
            </w:pPr>
            <w:r>
              <w:rPr>
                <w:b/>
                <w:sz w:val="22"/>
                <w:szCs w:val="22"/>
                <w:lang w:val="fr-FR"/>
              </w:rPr>
              <w:t>20</w:t>
            </w:r>
            <w:r w:rsidR="00906D9C">
              <w:rPr>
                <w:b/>
                <w:sz w:val="22"/>
                <w:szCs w:val="22"/>
                <w:lang w:val="fr-FR"/>
              </w:rPr>
              <w:t>22</w:t>
            </w:r>
          </w:p>
        </w:tc>
        <w:tc>
          <w:tcPr>
            <w:tcW w:w="1843" w:type="dxa"/>
            <w:vAlign w:val="center"/>
          </w:tcPr>
          <w:p w14:paraId="13E279FD" w14:textId="77777777" w:rsidR="00022921" w:rsidRDefault="00DC5ED8" w:rsidP="00B77EE8">
            <w:pPr>
              <w:ind w:left="-64"/>
              <w:jc w:val="center"/>
              <w:rPr>
                <w:b/>
                <w:sz w:val="22"/>
                <w:szCs w:val="22"/>
                <w:lang w:val="fr-FR"/>
              </w:rPr>
            </w:pPr>
            <w:r>
              <w:rPr>
                <w:b/>
                <w:sz w:val="22"/>
                <w:szCs w:val="22"/>
                <w:lang w:val="fr-FR"/>
              </w:rPr>
              <w:t>1</w:t>
            </w:r>
            <w:r w:rsidR="005418F2" w:rsidRPr="005418F2">
              <w:rPr>
                <w:b/>
                <w:sz w:val="22"/>
                <w:szCs w:val="22"/>
                <w:vertAlign w:val="superscript"/>
                <w:lang w:val="fr-FR"/>
              </w:rPr>
              <w:t>er</w:t>
            </w:r>
            <w:r>
              <w:rPr>
                <w:b/>
                <w:sz w:val="22"/>
                <w:szCs w:val="22"/>
                <w:lang w:val="fr-FR"/>
              </w:rPr>
              <w:t xml:space="preserve"> semestre </w:t>
            </w:r>
          </w:p>
          <w:p w14:paraId="726E88B8" w14:textId="77777777" w:rsidR="00DC5ED8" w:rsidRPr="00C134BD" w:rsidRDefault="00DC5ED8" w:rsidP="00B77EE8">
            <w:pPr>
              <w:ind w:left="-64"/>
              <w:jc w:val="center"/>
              <w:rPr>
                <w:b/>
                <w:sz w:val="22"/>
                <w:szCs w:val="22"/>
                <w:lang w:val="fr-FR"/>
              </w:rPr>
            </w:pPr>
            <w:r>
              <w:rPr>
                <w:b/>
                <w:sz w:val="22"/>
                <w:szCs w:val="22"/>
                <w:lang w:val="fr-FR"/>
              </w:rPr>
              <w:t>202</w:t>
            </w:r>
            <w:r w:rsidR="00906D9C">
              <w:rPr>
                <w:b/>
                <w:sz w:val="22"/>
                <w:szCs w:val="22"/>
                <w:lang w:val="fr-FR"/>
              </w:rPr>
              <w:t>3</w:t>
            </w:r>
          </w:p>
        </w:tc>
        <w:tc>
          <w:tcPr>
            <w:tcW w:w="1843" w:type="dxa"/>
            <w:vAlign w:val="center"/>
          </w:tcPr>
          <w:p w14:paraId="157FE253" w14:textId="77777777" w:rsidR="00DC5ED8" w:rsidRPr="00C134BD" w:rsidRDefault="004971D1" w:rsidP="00B77EE8">
            <w:pPr>
              <w:spacing w:before="120" w:after="120"/>
              <w:ind w:left="-66"/>
              <w:jc w:val="center"/>
              <w:rPr>
                <w:b/>
                <w:sz w:val="22"/>
                <w:szCs w:val="22"/>
                <w:lang w:val="fr-FR"/>
              </w:rPr>
            </w:pPr>
            <w:r>
              <w:rPr>
                <w:b/>
                <w:sz w:val="22"/>
                <w:szCs w:val="22"/>
                <w:lang w:val="fr-FR"/>
              </w:rPr>
              <w:t>% v</w:t>
            </w:r>
            <w:r w:rsidR="00DC5ED8" w:rsidRPr="00C134BD">
              <w:rPr>
                <w:b/>
                <w:sz w:val="22"/>
                <w:szCs w:val="22"/>
                <w:lang w:val="fr-FR"/>
              </w:rPr>
              <w:t xml:space="preserve">ariation </w:t>
            </w:r>
          </w:p>
        </w:tc>
      </w:tr>
      <w:tr w:rsidR="00906D9C" w:rsidRPr="00C134BD" w14:paraId="5E2EDC5A" w14:textId="77777777" w:rsidTr="00B77EE8">
        <w:tc>
          <w:tcPr>
            <w:tcW w:w="3472" w:type="dxa"/>
            <w:vAlign w:val="center"/>
          </w:tcPr>
          <w:p w14:paraId="16DAE540" w14:textId="77777777" w:rsidR="00906D9C" w:rsidRPr="00135256" w:rsidRDefault="00906D9C" w:rsidP="00906D9C">
            <w:pPr>
              <w:spacing w:before="120" w:after="120"/>
              <w:jc w:val="both"/>
              <w:rPr>
                <w:sz w:val="22"/>
                <w:szCs w:val="22"/>
                <w:lang w:val="de-DE"/>
              </w:rPr>
            </w:pPr>
            <w:r w:rsidRPr="00C134BD">
              <w:rPr>
                <w:sz w:val="22"/>
                <w:szCs w:val="22"/>
                <w:lang w:val="de-DE"/>
              </w:rPr>
              <w:t xml:space="preserve">Vins </w:t>
            </w:r>
            <w:r w:rsidR="008D749A">
              <w:rPr>
                <w:sz w:val="22"/>
                <w:szCs w:val="22"/>
                <w:lang w:val="de-DE"/>
              </w:rPr>
              <w:t>&amp;</w:t>
            </w:r>
            <w:r w:rsidRPr="00C134BD">
              <w:rPr>
                <w:sz w:val="22"/>
                <w:szCs w:val="22"/>
                <w:lang w:val="de-DE"/>
              </w:rPr>
              <w:t xml:space="preserve"> </w:t>
            </w:r>
            <w:proofErr w:type="spellStart"/>
            <w:r w:rsidRPr="00C134BD">
              <w:rPr>
                <w:sz w:val="22"/>
                <w:szCs w:val="22"/>
                <w:lang w:val="de-DE"/>
              </w:rPr>
              <w:t>Spiritueux</w:t>
            </w:r>
            <w:proofErr w:type="spellEnd"/>
            <w:r w:rsidRPr="00C134BD">
              <w:rPr>
                <w:sz w:val="22"/>
                <w:szCs w:val="22"/>
                <w:lang w:val="de-DE"/>
              </w:rPr>
              <w:t xml:space="preserve"> </w:t>
            </w:r>
          </w:p>
        </w:tc>
        <w:tc>
          <w:tcPr>
            <w:tcW w:w="1843" w:type="dxa"/>
          </w:tcPr>
          <w:p w14:paraId="669989CF" w14:textId="77777777" w:rsidR="00906D9C" w:rsidRPr="00135256" w:rsidRDefault="00906D9C" w:rsidP="00906D9C">
            <w:pPr>
              <w:spacing w:before="120" w:after="120"/>
              <w:ind w:right="504"/>
              <w:jc w:val="right"/>
              <w:rPr>
                <w:sz w:val="22"/>
                <w:szCs w:val="22"/>
                <w:lang w:val="de-DE"/>
              </w:rPr>
            </w:pPr>
            <w:r>
              <w:rPr>
                <w:sz w:val="22"/>
                <w:szCs w:val="22"/>
                <w:lang w:val="de-DE"/>
              </w:rPr>
              <w:t>1 154</w:t>
            </w:r>
          </w:p>
        </w:tc>
        <w:tc>
          <w:tcPr>
            <w:tcW w:w="1843" w:type="dxa"/>
          </w:tcPr>
          <w:p w14:paraId="2B48C7EE" w14:textId="77777777" w:rsidR="00906D9C" w:rsidRPr="00135256" w:rsidRDefault="00B86513" w:rsidP="00540A81">
            <w:pPr>
              <w:spacing w:before="120" w:after="120"/>
              <w:ind w:right="498"/>
              <w:jc w:val="right"/>
              <w:rPr>
                <w:sz w:val="22"/>
                <w:szCs w:val="22"/>
                <w:lang w:val="de-DE"/>
              </w:rPr>
            </w:pPr>
            <w:r>
              <w:rPr>
                <w:sz w:val="22"/>
                <w:szCs w:val="22"/>
                <w:lang w:val="de-DE"/>
              </w:rPr>
              <w:t>1 046</w:t>
            </w:r>
          </w:p>
        </w:tc>
        <w:tc>
          <w:tcPr>
            <w:tcW w:w="1843" w:type="dxa"/>
          </w:tcPr>
          <w:p w14:paraId="222AC75C" w14:textId="77777777" w:rsidR="00906D9C" w:rsidRPr="00135256" w:rsidRDefault="00B86513" w:rsidP="00BE4987">
            <w:pPr>
              <w:spacing w:before="120" w:after="120"/>
              <w:ind w:right="502"/>
              <w:jc w:val="right"/>
              <w:rPr>
                <w:sz w:val="22"/>
                <w:szCs w:val="22"/>
                <w:lang w:val="de-DE"/>
              </w:rPr>
            </w:pPr>
            <w:r>
              <w:rPr>
                <w:sz w:val="22"/>
                <w:szCs w:val="22"/>
                <w:lang w:val="de-DE"/>
              </w:rPr>
              <w:t>-</w:t>
            </w:r>
            <w:r w:rsidR="00906D9C">
              <w:rPr>
                <w:sz w:val="22"/>
                <w:szCs w:val="22"/>
                <w:lang w:val="de-DE"/>
              </w:rPr>
              <w:t xml:space="preserve"> </w:t>
            </w:r>
            <w:r>
              <w:rPr>
                <w:sz w:val="22"/>
                <w:szCs w:val="22"/>
                <w:lang w:val="de-DE"/>
              </w:rPr>
              <w:t>9</w:t>
            </w:r>
            <w:r w:rsidR="00906D9C">
              <w:rPr>
                <w:sz w:val="22"/>
                <w:szCs w:val="22"/>
                <w:lang w:val="de-DE"/>
              </w:rPr>
              <w:t xml:space="preserve"> %</w:t>
            </w:r>
          </w:p>
        </w:tc>
      </w:tr>
      <w:tr w:rsidR="00906D9C" w:rsidRPr="00C134BD" w14:paraId="62D94664" w14:textId="77777777" w:rsidTr="00B77EE8">
        <w:tc>
          <w:tcPr>
            <w:tcW w:w="3472" w:type="dxa"/>
            <w:vAlign w:val="center"/>
          </w:tcPr>
          <w:p w14:paraId="46C850EC" w14:textId="77777777" w:rsidR="00906D9C" w:rsidRPr="00135256" w:rsidRDefault="00906D9C" w:rsidP="00906D9C">
            <w:pPr>
              <w:spacing w:before="120" w:after="120"/>
              <w:jc w:val="both"/>
              <w:rPr>
                <w:sz w:val="22"/>
                <w:szCs w:val="22"/>
                <w:lang w:val="de-DE"/>
              </w:rPr>
            </w:pPr>
            <w:r w:rsidRPr="00C134BD">
              <w:rPr>
                <w:sz w:val="22"/>
                <w:szCs w:val="22"/>
                <w:lang w:val="de-DE"/>
              </w:rPr>
              <w:t xml:space="preserve">Mode </w:t>
            </w:r>
            <w:r w:rsidR="008D749A">
              <w:rPr>
                <w:sz w:val="22"/>
                <w:szCs w:val="22"/>
                <w:lang w:val="de-DE"/>
              </w:rPr>
              <w:t>&amp;</w:t>
            </w:r>
            <w:r w:rsidRPr="00C134BD">
              <w:rPr>
                <w:sz w:val="22"/>
                <w:szCs w:val="22"/>
                <w:lang w:val="de-DE"/>
              </w:rPr>
              <w:t xml:space="preserve"> Maroquinerie</w:t>
            </w:r>
          </w:p>
        </w:tc>
        <w:tc>
          <w:tcPr>
            <w:tcW w:w="1843" w:type="dxa"/>
          </w:tcPr>
          <w:p w14:paraId="0DD53A9D" w14:textId="77777777" w:rsidR="00906D9C" w:rsidRPr="00135256" w:rsidRDefault="00906D9C" w:rsidP="00906D9C">
            <w:pPr>
              <w:spacing w:before="120" w:after="120"/>
              <w:ind w:right="504"/>
              <w:jc w:val="right"/>
              <w:rPr>
                <w:sz w:val="22"/>
                <w:szCs w:val="22"/>
                <w:lang w:val="de-DE"/>
              </w:rPr>
            </w:pPr>
            <w:r>
              <w:rPr>
                <w:sz w:val="22"/>
                <w:szCs w:val="22"/>
                <w:lang w:val="de-DE"/>
              </w:rPr>
              <w:t>7 509</w:t>
            </w:r>
          </w:p>
        </w:tc>
        <w:tc>
          <w:tcPr>
            <w:tcW w:w="1843" w:type="dxa"/>
          </w:tcPr>
          <w:p w14:paraId="48365A73" w14:textId="77777777" w:rsidR="00906D9C" w:rsidRPr="00135256" w:rsidRDefault="00B86513" w:rsidP="00540A81">
            <w:pPr>
              <w:spacing w:before="120" w:after="120"/>
              <w:ind w:right="498"/>
              <w:jc w:val="right"/>
              <w:rPr>
                <w:sz w:val="22"/>
                <w:szCs w:val="22"/>
                <w:lang w:val="de-DE"/>
              </w:rPr>
            </w:pPr>
            <w:r>
              <w:rPr>
                <w:sz w:val="22"/>
                <w:szCs w:val="22"/>
                <w:lang w:val="de-DE"/>
              </w:rPr>
              <w:t>8 562</w:t>
            </w:r>
          </w:p>
        </w:tc>
        <w:tc>
          <w:tcPr>
            <w:tcW w:w="1843" w:type="dxa"/>
          </w:tcPr>
          <w:p w14:paraId="6838B734" w14:textId="77777777" w:rsidR="00906D9C" w:rsidRPr="00135256" w:rsidRDefault="00906D9C" w:rsidP="00BE4987">
            <w:pPr>
              <w:spacing w:before="120" w:after="120"/>
              <w:ind w:right="502"/>
              <w:jc w:val="right"/>
              <w:rPr>
                <w:sz w:val="22"/>
                <w:szCs w:val="22"/>
                <w:lang w:val="de-DE"/>
              </w:rPr>
            </w:pPr>
            <w:r>
              <w:rPr>
                <w:sz w:val="22"/>
                <w:szCs w:val="22"/>
                <w:lang w:val="de-DE"/>
              </w:rPr>
              <w:t xml:space="preserve">+ </w:t>
            </w:r>
            <w:r w:rsidR="00B86513">
              <w:rPr>
                <w:sz w:val="22"/>
                <w:szCs w:val="22"/>
                <w:lang w:val="de-DE"/>
              </w:rPr>
              <w:t>14</w:t>
            </w:r>
            <w:r>
              <w:rPr>
                <w:sz w:val="22"/>
                <w:szCs w:val="22"/>
                <w:lang w:val="de-DE"/>
              </w:rPr>
              <w:t xml:space="preserve"> %</w:t>
            </w:r>
          </w:p>
        </w:tc>
      </w:tr>
      <w:tr w:rsidR="00906D9C" w:rsidRPr="00C134BD" w14:paraId="4DE484EC" w14:textId="77777777" w:rsidTr="00B77EE8">
        <w:tc>
          <w:tcPr>
            <w:tcW w:w="3472" w:type="dxa"/>
            <w:vAlign w:val="center"/>
          </w:tcPr>
          <w:p w14:paraId="446E57E0" w14:textId="77777777" w:rsidR="00906D9C" w:rsidRPr="00135256" w:rsidRDefault="00906D9C" w:rsidP="00906D9C">
            <w:pPr>
              <w:spacing w:before="120" w:after="120"/>
              <w:jc w:val="both"/>
              <w:rPr>
                <w:sz w:val="22"/>
                <w:szCs w:val="22"/>
                <w:lang w:val="de-DE"/>
              </w:rPr>
            </w:pPr>
            <w:r w:rsidRPr="00C134BD">
              <w:rPr>
                <w:sz w:val="22"/>
                <w:szCs w:val="22"/>
                <w:lang w:val="de-DE"/>
              </w:rPr>
              <w:t xml:space="preserve">Parfums </w:t>
            </w:r>
            <w:r w:rsidR="008D749A">
              <w:rPr>
                <w:sz w:val="22"/>
                <w:szCs w:val="22"/>
                <w:lang w:val="de-DE"/>
              </w:rPr>
              <w:t>&amp;</w:t>
            </w:r>
            <w:r w:rsidRPr="00C134BD">
              <w:rPr>
                <w:sz w:val="22"/>
                <w:szCs w:val="22"/>
                <w:lang w:val="de-DE"/>
              </w:rPr>
              <w:t xml:space="preserve"> </w:t>
            </w:r>
            <w:proofErr w:type="spellStart"/>
            <w:r w:rsidRPr="00C134BD">
              <w:rPr>
                <w:sz w:val="22"/>
                <w:szCs w:val="22"/>
                <w:lang w:val="de-DE"/>
              </w:rPr>
              <w:t>Cosmétiques</w:t>
            </w:r>
            <w:proofErr w:type="spellEnd"/>
          </w:p>
        </w:tc>
        <w:tc>
          <w:tcPr>
            <w:tcW w:w="1843" w:type="dxa"/>
            <w:vAlign w:val="center"/>
          </w:tcPr>
          <w:p w14:paraId="582DF547" w14:textId="77777777" w:rsidR="00906D9C" w:rsidRPr="00135256" w:rsidRDefault="00906D9C" w:rsidP="00906D9C">
            <w:pPr>
              <w:spacing w:before="120" w:after="120"/>
              <w:ind w:right="504"/>
              <w:jc w:val="right"/>
              <w:rPr>
                <w:sz w:val="22"/>
                <w:szCs w:val="22"/>
                <w:lang w:val="de-DE"/>
              </w:rPr>
            </w:pPr>
            <w:r>
              <w:rPr>
                <w:sz w:val="22"/>
                <w:szCs w:val="22"/>
                <w:lang w:val="de-DE"/>
              </w:rPr>
              <w:t>388</w:t>
            </w:r>
          </w:p>
        </w:tc>
        <w:tc>
          <w:tcPr>
            <w:tcW w:w="1843" w:type="dxa"/>
            <w:vAlign w:val="center"/>
          </w:tcPr>
          <w:p w14:paraId="76279AE1" w14:textId="77777777" w:rsidR="00906D9C" w:rsidRPr="00135256" w:rsidRDefault="00B86513" w:rsidP="00540A81">
            <w:pPr>
              <w:spacing w:before="120" w:after="120"/>
              <w:ind w:right="498"/>
              <w:jc w:val="right"/>
              <w:rPr>
                <w:sz w:val="22"/>
                <w:szCs w:val="22"/>
                <w:lang w:val="de-DE"/>
              </w:rPr>
            </w:pPr>
            <w:r>
              <w:rPr>
                <w:sz w:val="22"/>
                <w:szCs w:val="22"/>
                <w:lang w:val="de-DE"/>
              </w:rPr>
              <w:t>446</w:t>
            </w:r>
          </w:p>
        </w:tc>
        <w:tc>
          <w:tcPr>
            <w:tcW w:w="1843" w:type="dxa"/>
            <w:vAlign w:val="center"/>
          </w:tcPr>
          <w:p w14:paraId="686D8DC4" w14:textId="77777777" w:rsidR="00906D9C" w:rsidRPr="00135256" w:rsidRDefault="00906D9C" w:rsidP="00361AC3">
            <w:pPr>
              <w:spacing w:before="120" w:after="120"/>
              <w:ind w:right="502"/>
              <w:jc w:val="right"/>
              <w:rPr>
                <w:sz w:val="22"/>
                <w:szCs w:val="22"/>
                <w:lang w:val="de-DE"/>
              </w:rPr>
            </w:pPr>
            <w:r>
              <w:rPr>
                <w:sz w:val="22"/>
                <w:szCs w:val="22"/>
                <w:lang w:val="de-DE"/>
              </w:rPr>
              <w:t xml:space="preserve">+ </w:t>
            </w:r>
            <w:r w:rsidR="00B86513">
              <w:rPr>
                <w:sz w:val="22"/>
                <w:szCs w:val="22"/>
                <w:lang w:val="de-DE"/>
              </w:rPr>
              <w:t>15</w:t>
            </w:r>
            <w:r>
              <w:rPr>
                <w:sz w:val="22"/>
                <w:szCs w:val="22"/>
                <w:lang w:val="de-DE"/>
              </w:rPr>
              <w:t xml:space="preserve"> %</w:t>
            </w:r>
          </w:p>
        </w:tc>
      </w:tr>
      <w:tr w:rsidR="00906D9C" w:rsidRPr="00C134BD" w14:paraId="50BD851D" w14:textId="77777777" w:rsidTr="00B77EE8">
        <w:tc>
          <w:tcPr>
            <w:tcW w:w="3472" w:type="dxa"/>
            <w:vAlign w:val="center"/>
          </w:tcPr>
          <w:p w14:paraId="52CC4114" w14:textId="77777777" w:rsidR="00906D9C" w:rsidRPr="00135256" w:rsidRDefault="00906D9C" w:rsidP="00906D9C">
            <w:pPr>
              <w:spacing w:before="120" w:after="120"/>
              <w:jc w:val="both"/>
              <w:rPr>
                <w:sz w:val="22"/>
                <w:szCs w:val="22"/>
                <w:lang w:val="de-DE"/>
              </w:rPr>
            </w:pPr>
            <w:proofErr w:type="spellStart"/>
            <w:r w:rsidRPr="00C134BD">
              <w:rPr>
                <w:sz w:val="22"/>
                <w:szCs w:val="22"/>
                <w:lang w:val="de-DE"/>
              </w:rPr>
              <w:t>Montres</w:t>
            </w:r>
            <w:proofErr w:type="spellEnd"/>
            <w:r w:rsidRPr="00C134BD">
              <w:rPr>
                <w:sz w:val="22"/>
                <w:szCs w:val="22"/>
                <w:lang w:val="de-DE"/>
              </w:rPr>
              <w:t xml:space="preserve"> </w:t>
            </w:r>
            <w:r w:rsidR="008D749A">
              <w:rPr>
                <w:sz w:val="22"/>
                <w:szCs w:val="22"/>
                <w:lang w:val="de-DE"/>
              </w:rPr>
              <w:t>&amp;</w:t>
            </w:r>
            <w:r w:rsidRPr="00C134BD">
              <w:rPr>
                <w:sz w:val="22"/>
                <w:szCs w:val="22"/>
                <w:lang w:val="de-DE"/>
              </w:rPr>
              <w:t xml:space="preserve"> </w:t>
            </w:r>
            <w:proofErr w:type="spellStart"/>
            <w:r w:rsidRPr="00C134BD">
              <w:rPr>
                <w:sz w:val="22"/>
                <w:szCs w:val="22"/>
                <w:lang w:val="de-DE"/>
              </w:rPr>
              <w:t>Joaillerie</w:t>
            </w:r>
            <w:proofErr w:type="spellEnd"/>
          </w:p>
        </w:tc>
        <w:tc>
          <w:tcPr>
            <w:tcW w:w="1843" w:type="dxa"/>
          </w:tcPr>
          <w:p w14:paraId="00E972F6" w14:textId="77777777" w:rsidR="00906D9C" w:rsidRPr="00135256" w:rsidRDefault="00906D9C" w:rsidP="00906D9C">
            <w:pPr>
              <w:spacing w:before="120" w:after="120"/>
              <w:ind w:right="504"/>
              <w:jc w:val="right"/>
              <w:rPr>
                <w:sz w:val="22"/>
                <w:szCs w:val="22"/>
                <w:lang w:val="de-DE"/>
              </w:rPr>
            </w:pPr>
            <w:r>
              <w:rPr>
                <w:sz w:val="22"/>
                <w:szCs w:val="22"/>
                <w:lang w:val="de-DE"/>
              </w:rPr>
              <w:t>987</w:t>
            </w:r>
          </w:p>
        </w:tc>
        <w:tc>
          <w:tcPr>
            <w:tcW w:w="1843" w:type="dxa"/>
          </w:tcPr>
          <w:p w14:paraId="16EC00EA" w14:textId="77777777" w:rsidR="00906D9C" w:rsidRPr="00135256" w:rsidRDefault="00B86513" w:rsidP="00540A81">
            <w:pPr>
              <w:spacing w:before="120" w:after="120"/>
              <w:ind w:right="498"/>
              <w:jc w:val="right"/>
              <w:rPr>
                <w:sz w:val="22"/>
                <w:szCs w:val="22"/>
                <w:lang w:val="de-DE"/>
              </w:rPr>
            </w:pPr>
            <w:r>
              <w:rPr>
                <w:sz w:val="22"/>
                <w:szCs w:val="22"/>
                <w:lang w:val="de-DE"/>
              </w:rPr>
              <w:t>1 089</w:t>
            </w:r>
          </w:p>
        </w:tc>
        <w:tc>
          <w:tcPr>
            <w:tcW w:w="1843" w:type="dxa"/>
          </w:tcPr>
          <w:p w14:paraId="76EBD7AA" w14:textId="77777777" w:rsidR="00906D9C" w:rsidRPr="00135256" w:rsidRDefault="00906D9C" w:rsidP="00BE4987">
            <w:pPr>
              <w:spacing w:before="120" w:after="120"/>
              <w:ind w:right="502"/>
              <w:jc w:val="right"/>
              <w:rPr>
                <w:sz w:val="22"/>
                <w:szCs w:val="22"/>
                <w:lang w:val="de-DE"/>
              </w:rPr>
            </w:pPr>
            <w:r>
              <w:rPr>
                <w:sz w:val="22"/>
                <w:szCs w:val="22"/>
                <w:lang w:val="de-DE"/>
              </w:rPr>
              <w:t xml:space="preserve">+ </w:t>
            </w:r>
            <w:r w:rsidR="00B86513">
              <w:rPr>
                <w:sz w:val="22"/>
                <w:szCs w:val="22"/>
                <w:lang w:val="de-DE"/>
              </w:rPr>
              <w:t>10</w:t>
            </w:r>
            <w:r>
              <w:rPr>
                <w:sz w:val="22"/>
                <w:szCs w:val="22"/>
                <w:lang w:val="de-DE"/>
              </w:rPr>
              <w:t xml:space="preserve"> %</w:t>
            </w:r>
          </w:p>
        </w:tc>
      </w:tr>
      <w:tr w:rsidR="00906D9C" w:rsidRPr="00C134BD" w14:paraId="3E4BA9B8" w14:textId="77777777" w:rsidTr="00B77EE8">
        <w:tc>
          <w:tcPr>
            <w:tcW w:w="3472" w:type="dxa"/>
            <w:vAlign w:val="center"/>
          </w:tcPr>
          <w:p w14:paraId="11A87E6F" w14:textId="77777777" w:rsidR="00906D9C" w:rsidRPr="00135256" w:rsidRDefault="00906D9C" w:rsidP="00906D9C">
            <w:pPr>
              <w:spacing w:before="120" w:after="120"/>
              <w:jc w:val="both"/>
              <w:rPr>
                <w:sz w:val="22"/>
                <w:szCs w:val="22"/>
                <w:lang w:val="de-DE"/>
              </w:rPr>
            </w:pPr>
            <w:r w:rsidRPr="00C134BD">
              <w:rPr>
                <w:sz w:val="22"/>
                <w:szCs w:val="22"/>
                <w:lang w:val="de-DE"/>
              </w:rPr>
              <w:t xml:space="preserve">Distribution </w:t>
            </w:r>
            <w:proofErr w:type="spellStart"/>
            <w:r w:rsidRPr="00C134BD">
              <w:rPr>
                <w:sz w:val="22"/>
                <w:szCs w:val="22"/>
                <w:lang w:val="de-DE"/>
              </w:rPr>
              <w:t>sélective</w:t>
            </w:r>
            <w:proofErr w:type="spellEnd"/>
          </w:p>
        </w:tc>
        <w:tc>
          <w:tcPr>
            <w:tcW w:w="1843" w:type="dxa"/>
          </w:tcPr>
          <w:p w14:paraId="08071416" w14:textId="77777777" w:rsidR="00906D9C" w:rsidRPr="00135256" w:rsidRDefault="00906D9C" w:rsidP="00906D9C">
            <w:pPr>
              <w:spacing w:before="120" w:after="120"/>
              <w:ind w:right="504"/>
              <w:jc w:val="right"/>
              <w:rPr>
                <w:sz w:val="22"/>
                <w:szCs w:val="22"/>
                <w:lang w:val="de-DE"/>
              </w:rPr>
            </w:pPr>
            <w:r>
              <w:rPr>
                <w:sz w:val="22"/>
                <w:szCs w:val="22"/>
                <w:lang w:val="de-DE"/>
              </w:rPr>
              <w:t>367</w:t>
            </w:r>
          </w:p>
        </w:tc>
        <w:tc>
          <w:tcPr>
            <w:tcW w:w="1843" w:type="dxa"/>
          </w:tcPr>
          <w:p w14:paraId="129A4678" w14:textId="77777777" w:rsidR="00906D9C" w:rsidRPr="00135256" w:rsidRDefault="00B86513" w:rsidP="00540A81">
            <w:pPr>
              <w:spacing w:before="120" w:after="120"/>
              <w:ind w:right="498"/>
              <w:jc w:val="right"/>
              <w:rPr>
                <w:sz w:val="22"/>
                <w:szCs w:val="22"/>
                <w:lang w:val="de-DE"/>
              </w:rPr>
            </w:pPr>
            <w:r>
              <w:rPr>
                <w:sz w:val="22"/>
                <w:szCs w:val="22"/>
                <w:lang w:val="de-DE"/>
              </w:rPr>
              <w:t>734</w:t>
            </w:r>
          </w:p>
        </w:tc>
        <w:tc>
          <w:tcPr>
            <w:tcW w:w="1843" w:type="dxa"/>
          </w:tcPr>
          <w:p w14:paraId="438E1F18" w14:textId="77777777" w:rsidR="00906D9C" w:rsidRPr="00135256" w:rsidRDefault="00906D9C" w:rsidP="00BE4987">
            <w:pPr>
              <w:spacing w:before="120" w:after="120"/>
              <w:ind w:right="502"/>
              <w:jc w:val="right"/>
              <w:rPr>
                <w:sz w:val="22"/>
                <w:szCs w:val="22"/>
                <w:lang w:val="de-DE"/>
              </w:rPr>
            </w:pPr>
            <w:r>
              <w:rPr>
                <w:sz w:val="22"/>
                <w:szCs w:val="22"/>
                <w:lang w:val="de-DE"/>
              </w:rPr>
              <w:t xml:space="preserve">+ </w:t>
            </w:r>
            <w:r w:rsidR="00B86513">
              <w:rPr>
                <w:sz w:val="22"/>
                <w:szCs w:val="22"/>
                <w:lang w:val="de-DE"/>
              </w:rPr>
              <w:t>100</w:t>
            </w:r>
            <w:r>
              <w:rPr>
                <w:sz w:val="22"/>
                <w:szCs w:val="22"/>
                <w:lang w:val="de-DE"/>
              </w:rPr>
              <w:t xml:space="preserve"> %</w:t>
            </w:r>
          </w:p>
        </w:tc>
      </w:tr>
      <w:tr w:rsidR="00906D9C" w:rsidRPr="00C134BD" w14:paraId="18232D12" w14:textId="77777777" w:rsidTr="00B77EE8">
        <w:tc>
          <w:tcPr>
            <w:tcW w:w="3472" w:type="dxa"/>
            <w:vAlign w:val="center"/>
          </w:tcPr>
          <w:p w14:paraId="77BAD50D" w14:textId="77777777" w:rsidR="00906D9C" w:rsidRPr="00135256" w:rsidRDefault="00906D9C" w:rsidP="00906D9C">
            <w:pPr>
              <w:spacing w:before="120" w:after="120"/>
              <w:jc w:val="both"/>
              <w:rPr>
                <w:sz w:val="22"/>
                <w:szCs w:val="22"/>
                <w:lang w:val="de-DE"/>
              </w:rPr>
            </w:pPr>
            <w:proofErr w:type="spellStart"/>
            <w:r w:rsidRPr="00C134BD">
              <w:rPr>
                <w:sz w:val="22"/>
                <w:szCs w:val="22"/>
                <w:lang w:val="de-DE"/>
              </w:rPr>
              <w:t>Autres</w:t>
            </w:r>
            <w:proofErr w:type="spellEnd"/>
            <w:r w:rsidRPr="00C134BD">
              <w:rPr>
                <w:sz w:val="22"/>
                <w:szCs w:val="22"/>
                <w:lang w:val="de-DE"/>
              </w:rPr>
              <w:t xml:space="preserve"> </w:t>
            </w:r>
            <w:proofErr w:type="spellStart"/>
            <w:r w:rsidRPr="00C134BD">
              <w:rPr>
                <w:sz w:val="22"/>
                <w:szCs w:val="22"/>
                <w:lang w:val="de-DE"/>
              </w:rPr>
              <w:t>activités</w:t>
            </w:r>
            <w:proofErr w:type="spellEnd"/>
            <w:r w:rsidRPr="00C134BD">
              <w:rPr>
                <w:sz w:val="22"/>
                <w:szCs w:val="22"/>
                <w:lang w:val="de-DE"/>
              </w:rPr>
              <w:t xml:space="preserve"> et </w:t>
            </w:r>
            <w:proofErr w:type="spellStart"/>
            <w:r w:rsidRPr="00C134BD">
              <w:rPr>
                <w:sz w:val="22"/>
                <w:szCs w:val="22"/>
                <w:lang w:val="de-DE"/>
              </w:rPr>
              <w:t>éliminations</w:t>
            </w:r>
            <w:proofErr w:type="spellEnd"/>
          </w:p>
        </w:tc>
        <w:tc>
          <w:tcPr>
            <w:tcW w:w="1843" w:type="dxa"/>
          </w:tcPr>
          <w:p w14:paraId="558C526D" w14:textId="77777777" w:rsidR="00906D9C" w:rsidRPr="00135256" w:rsidRDefault="00906D9C" w:rsidP="00906D9C">
            <w:pPr>
              <w:spacing w:before="120" w:after="120"/>
              <w:ind w:right="504"/>
              <w:jc w:val="right"/>
              <w:rPr>
                <w:sz w:val="22"/>
                <w:szCs w:val="22"/>
                <w:lang w:val="de-DE"/>
              </w:rPr>
            </w:pPr>
            <w:r>
              <w:rPr>
                <w:sz w:val="22"/>
                <w:szCs w:val="22"/>
                <w:lang w:val="de-DE"/>
              </w:rPr>
              <w:t>(170)</w:t>
            </w:r>
          </w:p>
        </w:tc>
        <w:tc>
          <w:tcPr>
            <w:tcW w:w="1843" w:type="dxa"/>
          </w:tcPr>
          <w:p w14:paraId="0342FF6F" w14:textId="77777777" w:rsidR="00906D9C" w:rsidRPr="00857AEA" w:rsidRDefault="00232BE8" w:rsidP="00540A81">
            <w:pPr>
              <w:spacing w:before="120" w:after="120"/>
              <w:ind w:right="498"/>
              <w:jc w:val="right"/>
              <w:rPr>
                <w:sz w:val="22"/>
                <w:szCs w:val="22"/>
                <w:lang w:val="de-DE"/>
              </w:rPr>
            </w:pPr>
            <w:r>
              <w:rPr>
                <w:sz w:val="22"/>
                <w:szCs w:val="22"/>
                <w:lang w:val="de-DE"/>
              </w:rPr>
              <w:t>(</w:t>
            </w:r>
            <w:r w:rsidR="00B86513">
              <w:rPr>
                <w:sz w:val="22"/>
                <w:szCs w:val="22"/>
                <w:lang w:val="de-DE"/>
              </w:rPr>
              <w:t>303</w:t>
            </w:r>
            <w:r>
              <w:rPr>
                <w:sz w:val="22"/>
                <w:szCs w:val="22"/>
                <w:lang w:val="de-DE"/>
              </w:rPr>
              <w:t>)</w:t>
            </w:r>
          </w:p>
        </w:tc>
        <w:tc>
          <w:tcPr>
            <w:tcW w:w="1843" w:type="dxa"/>
          </w:tcPr>
          <w:p w14:paraId="3C4E0504" w14:textId="77777777" w:rsidR="00906D9C" w:rsidRPr="00135256" w:rsidRDefault="00906D9C" w:rsidP="00BE4987">
            <w:pPr>
              <w:spacing w:before="120" w:after="120"/>
              <w:ind w:right="502"/>
              <w:jc w:val="right"/>
              <w:rPr>
                <w:sz w:val="22"/>
                <w:szCs w:val="22"/>
                <w:lang w:val="de-DE"/>
              </w:rPr>
            </w:pPr>
            <w:r>
              <w:rPr>
                <w:sz w:val="22"/>
                <w:szCs w:val="22"/>
                <w:lang w:val="de-DE"/>
              </w:rPr>
              <w:t>-</w:t>
            </w:r>
          </w:p>
        </w:tc>
      </w:tr>
      <w:tr w:rsidR="00906D9C" w:rsidRPr="00C134BD" w14:paraId="593083B9" w14:textId="77777777" w:rsidTr="00B77EE8">
        <w:tc>
          <w:tcPr>
            <w:tcW w:w="3472" w:type="dxa"/>
          </w:tcPr>
          <w:p w14:paraId="1884C204" w14:textId="77777777" w:rsidR="00906D9C" w:rsidRPr="00C134BD" w:rsidRDefault="00906D9C" w:rsidP="00906D9C">
            <w:pPr>
              <w:spacing w:before="120" w:after="120"/>
              <w:jc w:val="both"/>
              <w:rPr>
                <w:sz w:val="22"/>
                <w:szCs w:val="22"/>
                <w:lang w:val="de-DE"/>
              </w:rPr>
            </w:pPr>
            <w:r w:rsidRPr="00C134BD">
              <w:rPr>
                <w:b/>
                <w:sz w:val="22"/>
                <w:szCs w:val="22"/>
                <w:lang w:val="de-DE"/>
              </w:rPr>
              <w:t>Total LVMH</w:t>
            </w:r>
          </w:p>
        </w:tc>
        <w:tc>
          <w:tcPr>
            <w:tcW w:w="1843" w:type="dxa"/>
          </w:tcPr>
          <w:p w14:paraId="3813C8F4" w14:textId="77777777" w:rsidR="00906D9C" w:rsidRPr="00135256" w:rsidRDefault="00906D9C" w:rsidP="00906D9C">
            <w:pPr>
              <w:spacing w:before="120" w:after="120"/>
              <w:ind w:right="504"/>
              <w:jc w:val="right"/>
              <w:rPr>
                <w:sz w:val="22"/>
                <w:szCs w:val="22"/>
                <w:lang w:val="de-DE"/>
              </w:rPr>
            </w:pPr>
            <w:r>
              <w:rPr>
                <w:b/>
                <w:bCs/>
                <w:sz w:val="22"/>
                <w:szCs w:val="22"/>
                <w:lang w:val="de-DE"/>
              </w:rPr>
              <w:t>10 235</w:t>
            </w:r>
          </w:p>
        </w:tc>
        <w:tc>
          <w:tcPr>
            <w:tcW w:w="1843" w:type="dxa"/>
          </w:tcPr>
          <w:p w14:paraId="6A1106A4" w14:textId="77777777" w:rsidR="00906D9C" w:rsidRPr="00917896" w:rsidRDefault="00B86513" w:rsidP="00540A81">
            <w:pPr>
              <w:spacing w:before="120" w:after="120"/>
              <w:ind w:right="498"/>
              <w:jc w:val="right"/>
              <w:rPr>
                <w:b/>
                <w:bCs/>
                <w:sz w:val="22"/>
                <w:szCs w:val="22"/>
                <w:lang w:val="de-DE"/>
              </w:rPr>
            </w:pPr>
            <w:r>
              <w:rPr>
                <w:b/>
                <w:bCs/>
                <w:sz w:val="22"/>
                <w:szCs w:val="22"/>
                <w:lang w:val="de-DE"/>
              </w:rPr>
              <w:t>11 574</w:t>
            </w:r>
          </w:p>
        </w:tc>
        <w:tc>
          <w:tcPr>
            <w:tcW w:w="1843" w:type="dxa"/>
          </w:tcPr>
          <w:p w14:paraId="2A389ECA" w14:textId="77777777" w:rsidR="00906D9C" w:rsidRPr="00120A52" w:rsidRDefault="00906D9C" w:rsidP="00BE4987">
            <w:pPr>
              <w:spacing w:before="120" w:after="120"/>
              <w:ind w:right="502"/>
              <w:jc w:val="right"/>
              <w:rPr>
                <w:b/>
                <w:bCs/>
                <w:sz w:val="22"/>
                <w:szCs w:val="22"/>
                <w:lang w:val="de-DE"/>
              </w:rPr>
            </w:pPr>
            <w:r>
              <w:rPr>
                <w:b/>
                <w:bCs/>
                <w:sz w:val="22"/>
                <w:szCs w:val="22"/>
                <w:lang w:val="de-DE"/>
              </w:rPr>
              <w:t xml:space="preserve">+ </w:t>
            </w:r>
            <w:r w:rsidR="00B86513">
              <w:rPr>
                <w:b/>
                <w:bCs/>
                <w:sz w:val="22"/>
                <w:szCs w:val="22"/>
                <w:lang w:val="de-DE"/>
              </w:rPr>
              <w:t>13</w:t>
            </w:r>
            <w:r>
              <w:rPr>
                <w:b/>
                <w:bCs/>
                <w:sz w:val="22"/>
                <w:szCs w:val="22"/>
                <w:lang w:val="de-DE"/>
              </w:rPr>
              <w:t xml:space="preserve"> %</w:t>
            </w:r>
          </w:p>
        </w:tc>
      </w:tr>
    </w:tbl>
    <w:p w14:paraId="353A2FF7" w14:textId="77777777" w:rsidR="008854D0" w:rsidRPr="00FA5784" w:rsidRDefault="00D0774F" w:rsidP="008854D0">
      <w:pPr>
        <w:rPr>
          <w:i/>
          <w:iCs/>
          <w:color w:val="000000"/>
          <w:sz w:val="18"/>
          <w:szCs w:val="18"/>
          <w:lang w:val="fr-FR"/>
        </w:rPr>
      </w:pPr>
      <w:bookmarkStart w:id="3" w:name="_Hlk45555045"/>
      <w:bookmarkStart w:id="4" w:name="_Hlk76712293"/>
      <w:r>
        <w:rPr>
          <w:i/>
          <w:iCs/>
          <w:color w:val="000000"/>
          <w:sz w:val="18"/>
          <w:szCs w:val="18"/>
          <w:lang w:val="fr-FR"/>
        </w:rPr>
        <w:br w:type="page"/>
      </w:r>
    </w:p>
    <w:p w14:paraId="144EF5D1" w14:textId="77777777" w:rsidR="00C140BD" w:rsidRPr="00F71827" w:rsidRDefault="00C140BD" w:rsidP="00BF6207">
      <w:pPr>
        <w:pStyle w:val="Corpsdetexte2"/>
        <w:jc w:val="left"/>
        <w:rPr>
          <w:rFonts w:ascii="Tms Rmn" w:hAnsi="Tms Rmn"/>
          <w:b/>
          <w:i/>
          <w:iCs/>
          <w:snapToGrid w:val="0"/>
          <w:color w:val="000000"/>
          <w:sz w:val="22"/>
          <w:szCs w:val="22"/>
        </w:rPr>
      </w:pPr>
      <w:r w:rsidRPr="00F71827">
        <w:rPr>
          <w:b/>
          <w:snapToGrid w:val="0"/>
          <w:sz w:val="22"/>
          <w:szCs w:val="22"/>
        </w:rPr>
        <w:lastRenderedPageBreak/>
        <w:t xml:space="preserve">Vins et Spiritueux : </w:t>
      </w:r>
      <w:r w:rsidR="00A55DE5" w:rsidRPr="00F71827">
        <w:rPr>
          <w:b/>
          <w:snapToGrid w:val="0"/>
          <w:sz w:val="22"/>
          <w:szCs w:val="22"/>
        </w:rPr>
        <w:t xml:space="preserve">bon semestre pour l’activité Champagne ; faiblesse de la demande pour Hennessy </w:t>
      </w:r>
    </w:p>
    <w:p w14:paraId="343919A9" w14:textId="77777777" w:rsidR="00C140BD" w:rsidRPr="00F71827" w:rsidRDefault="00C140BD" w:rsidP="00C140BD">
      <w:pPr>
        <w:spacing w:line="240" w:lineRule="atLeast"/>
        <w:rPr>
          <w:rFonts w:ascii="Tms Rmn" w:hAnsi="Tms Rmn"/>
          <w:snapToGrid w:val="0"/>
          <w:color w:val="000000"/>
          <w:sz w:val="22"/>
          <w:szCs w:val="22"/>
          <w:lang w:val="fr-FR"/>
        </w:rPr>
      </w:pPr>
    </w:p>
    <w:p w14:paraId="0D9A2DDB" w14:textId="77777777" w:rsidR="00B63137" w:rsidRPr="00F71827" w:rsidRDefault="00FD10BC" w:rsidP="00B16F26">
      <w:pPr>
        <w:autoSpaceDE w:val="0"/>
        <w:autoSpaceDN w:val="0"/>
        <w:adjustRightInd w:val="0"/>
        <w:spacing w:line="240" w:lineRule="atLeast"/>
        <w:jc w:val="both"/>
        <w:rPr>
          <w:color w:val="000000"/>
          <w:sz w:val="22"/>
          <w:szCs w:val="22"/>
          <w:lang w:val="fr-FR"/>
        </w:rPr>
      </w:pPr>
      <w:r w:rsidRPr="00F71827">
        <w:rPr>
          <w:color w:val="000000"/>
          <w:sz w:val="22"/>
          <w:szCs w:val="22"/>
          <w:lang w:val="fr-FR"/>
        </w:rPr>
        <w:t>L</w:t>
      </w:r>
      <w:r w:rsidR="007C45BC" w:rsidRPr="00F71827">
        <w:rPr>
          <w:color w:val="000000"/>
          <w:sz w:val="22"/>
          <w:szCs w:val="22"/>
          <w:lang w:val="fr-FR"/>
        </w:rPr>
        <w:t>’activité</w:t>
      </w:r>
      <w:r w:rsidR="00FA67B2" w:rsidRPr="00F71827">
        <w:rPr>
          <w:color w:val="000000"/>
          <w:sz w:val="22"/>
          <w:szCs w:val="22"/>
          <w:lang w:val="fr-FR"/>
        </w:rPr>
        <w:t xml:space="preserve"> </w:t>
      </w:r>
      <w:r w:rsidR="00FA67B2" w:rsidRPr="00F71827">
        <w:rPr>
          <w:b/>
          <w:color w:val="000000"/>
          <w:sz w:val="22"/>
          <w:szCs w:val="22"/>
          <w:lang w:val="fr-FR"/>
        </w:rPr>
        <w:t>Vins et Spiritueux</w:t>
      </w:r>
      <w:r w:rsidR="00FA67B2" w:rsidRPr="00F71827">
        <w:rPr>
          <w:color w:val="000000"/>
          <w:sz w:val="22"/>
          <w:szCs w:val="22"/>
          <w:lang w:val="fr-FR"/>
        </w:rPr>
        <w:t xml:space="preserve"> </w:t>
      </w:r>
      <w:r w:rsidR="003A039D" w:rsidRPr="00F71827">
        <w:rPr>
          <w:color w:val="000000"/>
          <w:sz w:val="22"/>
          <w:szCs w:val="22"/>
          <w:lang w:val="fr-FR"/>
        </w:rPr>
        <w:t xml:space="preserve">enregistre </w:t>
      </w:r>
      <w:r w:rsidR="009F0692" w:rsidRPr="00F71827">
        <w:rPr>
          <w:color w:val="000000"/>
          <w:sz w:val="22"/>
          <w:szCs w:val="22"/>
          <w:lang w:val="fr-FR"/>
        </w:rPr>
        <w:t>une légère baisse</w:t>
      </w:r>
      <w:r w:rsidR="004B6BBB" w:rsidRPr="00F71827">
        <w:rPr>
          <w:color w:val="000000"/>
          <w:sz w:val="22"/>
          <w:szCs w:val="22"/>
          <w:lang w:val="fr-FR"/>
        </w:rPr>
        <w:t xml:space="preserve"> </w:t>
      </w:r>
      <w:r w:rsidR="009F0692" w:rsidRPr="00F71827">
        <w:rPr>
          <w:color w:val="000000"/>
          <w:sz w:val="22"/>
          <w:szCs w:val="22"/>
          <w:lang w:val="fr-FR"/>
        </w:rPr>
        <w:t>(3%</w:t>
      </w:r>
      <w:r w:rsidR="00623408" w:rsidRPr="00F71827">
        <w:rPr>
          <w:color w:val="000000"/>
          <w:sz w:val="22"/>
          <w:szCs w:val="22"/>
          <w:lang w:val="fr-FR"/>
        </w:rPr>
        <w:t xml:space="preserve"> organique</w:t>
      </w:r>
      <w:r w:rsidR="009F0692" w:rsidRPr="00F71827">
        <w:rPr>
          <w:color w:val="000000"/>
          <w:sz w:val="22"/>
          <w:szCs w:val="22"/>
          <w:lang w:val="fr-FR"/>
        </w:rPr>
        <w:t xml:space="preserve">) </w:t>
      </w:r>
      <w:r w:rsidR="003A039D" w:rsidRPr="00F71827">
        <w:rPr>
          <w:color w:val="000000"/>
          <w:sz w:val="22"/>
          <w:szCs w:val="22"/>
          <w:lang w:val="fr-FR"/>
        </w:rPr>
        <w:t>de ses ventes au premier semestre 202</w:t>
      </w:r>
      <w:r w:rsidR="002D5C65" w:rsidRPr="00F71827">
        <w:rPr>
          <w:color w:val="000000"/>
          <w:sz w:val="22"/>
          <w:szCs w:val="22"/>
          <w:lang w:val="fr-FR"/>
        </w:rPr>
        <w:t>3</w:t>
      </w:r>
      <w:r w:rsidR="005F7E25" w:rsidRPr="00F71827">
        <w:rPr>
          <w:color w:val="000000"/>
          <w:sz w:val="22"/>
          <w:szCs w:val="22"/>
          <w:lang w:val="fr-FR"/>
        </w:rPr>
        <w:t xml:space="preserve"> </w:t>
      </w:r>
      <w:r w:rsidR="006157E1" w:rsidRPr="00F71827">
        <w:rPr>
          <w:color w:val="000000"/>
          <w:sz w:val="22"/>
          <w:szCs w:val="22"/>
          <w:lang w:val="fr-FR"/>
        </w:rPr>
        <w:t xml:space="preserve">face </w:t>
      </w:r>
      <w:r w:rsidR="005F7E25" w:rsidRPr="00F71827">
        <w:rPr>
          <w:color w:val="000000"/>
          <w:sz w:val="22"/>
          <w:szCs w:val="22"/>
          <w:lang w:val="fr-FR"/>
        </w:rPr>
        <w:t>à un</w:t>
      </w:r>
      <w:r w:rsidR="006D014D" w:rsidRPr="00F71827">
        <w:rPr>
          <w:color w:val="000000"/>
          <w:sz w:val="22"/>
          <w:szCs w:val="22"/>
          <w:lang w:val="fr-FR"/>
        </w:rPr>
        <w:t xml:space="preserve">e </w:t>
      </w:r>
      <w:r w:rsidR="006157E1" w:rsidRPr="00F71827">
        <w:rPr>
          <w:color w:val="000000"/>
          <w:sz w:val="22"/>
          <w:szCs w:val="22"/>
          <w:lang w:val="fr-FR"/>
        </w:rPr>
        <w:t>base de comparaison pa</w:t>
      </w:r>
      <w:r w:rsidR="006D014D" w:rsidRPr="00F71827">
        <w:rPr>
          <w:color w:val="000000"/>
          <w:sz w:val="22"/>
          <w:szCs w:val="22"/>
          <w:lang w:val="fr-FR"/>
        </w:rPr>
        <w:t xml:space="preserve">rticulièrement </w:t>
      </w:r>
      <w:r w:rsidR="006157E1" w:rsidRPr="00F71827">
        <w:rPr>
          <w:color w:val="000000"/>
          <w:sz w:val="22"/>
          <w:szCs w:val="22"/>
          <w:lang w:val="fr-FR"/>
        </w:rPr>
        <w:t>élevée</w:t>
      </w:r>
      <w:r w:rsidR="006D014D" w:rsidRPr="00F71827">
        <w:rPr>
          <w:color w:val="000000"/>
          <w:sz w:val="22"/>
          <w:szCs w:val="22"/>
          <w:lang w:val="fr-FR"/>
        </w:rPr>
        <w:t xml:space="preserve"> </w:t>
      </w:r>
      <w:r w:rsidR="005F7E25" w:rsidRPr="00F71827">
        <w:rPr>
          <w:color w:val="000000"/>
          <w:sz w:val="22"/>
          <w:szCs w:val="22"/>
          <w:lang w:val="fr-FR"/>
        </w:rPr>
        <w:t>au premier semestre 2022</w:t>
      </w:r>
      <w:r w:rsidR="003A039D" w:rsidRPr="00F71827">
        <w:rPr>
          <w:color w:val="000000"/>
          <w:sz w:val="22"/>
          <w:szCs w:val="22"/>
          <w:lang w:val="fr-FR"/>
        </w:rPr>
        <w:t>.</w:t>
      </w:r>
      <w:r w:rsidR="006D1D77" w:rsidRPr="00F71827">
        <w:rPr>
          <w:color w:val="000000"/>
          <w:sz w:val="22"/>
          <w:szCs w:val="22"/>
          <w:lang w:val="fr-FR"/>
        </w:rPr>
        <w:t xml:space="preserve"> </w:t>
      </w:r>
      <w:r w:rsidR="006F735C" w:rsidRPr="00F71827">
        <w:rPr>
          <w:color w:val="000000"/>
          <w:sz w:val="22"/>
          <w:szCs w:val="22"/>
          <w:lang w:val="fr-FR"/>
        </w:rPr>
        <w:t xml:space="preserve">Le résultat opérationnel courant est en </w:t>
      </w:r>
      <w:r w:rsidR="006460B7" w:rsidRPr="00F71827">
        <w:rPr>
          <w:color w:val="000000"/>
          <w:sz w:val="22"/>
          <w:szCs w:val="22"/>
          <w:lang w:val="fr-FR"/>
        </w:rPr>
        <w:t>recul</w:t>
      </w:r>
      <w:r w:rsidR="003A039D" w:rsidRPr="00F71827">
        <w:rPr>
          <w:color w:val="000000"/>
          <w:sz w:val="22"/>
          <w:szCs w:val="22"/>
          <w:lang w:val="fr-FR"/>
        </w:rPr>
        <w:t xml:space="preserve"> de</w:t>
      </w:r>
      <w:r w:rsidR="00C320C8" w:rsidRPr="00F71827">
        <w:rPr>
          <w:color w:val="000000"/>
          <w:sz w:val="22"/>
          <w:szCs w:val="22"/>
          <w:lang w:val="fr-FR"/>
        </w:rPr>
        <w:t xml:space="preserve"> 9</w:t>
      </w:r>
      <w:r w:rsidR="003A039D" w:rsidRPr="00F71827">
        <w:rPr>
          <w:color w:val="000000"/>
          <w:sz w:val="22"/>
          <w:szCs w:val="22"/>
          <w:lang w:val="fr-FR"/>
        </w:rPr>
        <w:t xml:space="preserve"> </w:t>
      </w:r>
      <w:r w:rsidR="006F735C" w:rsidRPr="00F71827">
        <w:rPr>
          <w:color w:val="000000"/>
          <w:sz w:val="22"/>
          <w:szCs w:val="22"/>
          <w:lang w:val="fr-FR"/>
        </w:rPr>
        <w:t xml:space="preserve">%. </w:t>
      </w:r>
      <w:r w:rsidR="00B63137" w:rsidRPr="00F71827">
        <w:rPr>
          <w:color w:val="000000"/>
          <w:sz w:val="22"/>
          <w:szCs w:val="22"/>
          <w:lang w:val="fr-FR"/>
        </w:rPr>
        <w:t xml:space="preserve">L’activité Champagne enregistre une progression de ses ventes sur le semestre, portée par </w:t>
      </w:r>
      <w:r w:rsidR="00411FAD" w:rsidRPr="00F71827">
        <w:rPr>
          <w:color w:val="000000"/>
          <w:sz w:val="22"/>
          <w:szCs w:val="22"/>
          <w:lang w:val="fr-FR"/>
        </w:rPr>
        <w:t>sa stratégie de valeur</w:t>
      </w:r>
      <w:r w:rsidR="00B63137" w:rsidRPr="00F71827">
        <w:rPr>
          <w:color w:val="000000"/>
          <w:sz w:val="22"/>
          <w:szCs w:val="22"/>
          <w:lang w:val="fr-FR"/>
        </w:rPr>
        <w:t xml:space="preserve">. Le cognac Hennessy </w:t>
      </w:r>
      <w:r w:rsidR="00A55DE5" w:rsidRPr="00F71827">
        <w:rPr>
          <w:color w:val="000000"/>
          <w:sz w:val="22"/>
          <w:szCs w:val="22"/>
          <w:lang w:val="fr-FR"/>
        </w:rPr>
        <w:t>est impacté par</w:t>
      </w:r>
      <w:r w:rsidR="006C3860" w:rsidRPr="00F71827">
        <w:rPr>
          <w:color w:val="000000"/>
          <w:sz w:val="22"/>
          <w:szCs w:val="22"/>
          <w:lang w:val="fr-FR"/>
        </w:rPr>
        <w:t xml:space="preserve"> </w:t>
      </w:r>
      <w:r w:rsidR="007E7E38" w:rsidRPr="00F71827">
        <w:rPr>
          <w:color w:val="000000"/>
          <w:sz w:val="22"/>
          <w:szCs w:val="22"/>
          <w:lang w:val="fr-FR"/>
        </w:rPr>
        <w:t>l’</w:t>
      </w:r>
      <w:r w:rsidR="00B63137" w:rsidRPr="00F71827">
        <w:rPr>
          <w:color w:val="000000"/>
          <w:sz w:val="22"/>
          <w:szCs w:val="22"/>
          <w:lang w:val="fr-FR"/>
        </w:rPr>
        <w:t xml:space="preserve">environnement économique aux Etats-Unis et </w:t>
      </w:r>
      <w:r w:rsidR="007E7E38" w:rsidRPr="00F71827">
        <w:rPr>
          <w:color w:val="000000"/>
          <w:sz w:val="22"/>
          <w:szCs w:val="22"/>
          <w:lang w:val="fr-FR"/>
        </w:rPr>
        <w:t xml:space="preserve">par </w:t>
      </w:r>
      <w:r w:rsidR="00A55DE5" w:rsidRPr="00F71827">
        <w:rPr>
          <w:color w:val="000000"/>
          <w:sz w:val="22"/>
          <w:szCs w:val="22"/>
          <w:lang w:val="fr-FR"/>
        </w:rPr>
        <w:t xml:space="preserve">le </w:t>
      </w:r>
      <w:r w:rsidR="00B63137" w:rsidRPr="00F71827">
        <w:rPr>
          <w:color w:val="000000"/>
          <w:sz w:val="22"/>
          <w:szCs w:val="22"/>
          <w:lang w:val="fr-FR"/>
        </w:rPr>
        <w:t>niveau de stock encore élevé chez les revendeurs. Au sein des rosés de Provence, Château d’</w:t>
      </w:r>
      <w:proofErr w:type="spellStart"/>
      <w:r w:rsidR="00B63137" w:rsidRPr="00F71827">
        <w:rPr>
          <w:color w:val="000000"/>
          <w:sz w:val="22"/>
          <w:szCs w:val="22"/>
          <w:lang w:val="fr-FR"/>
        </w:rPr>
        <w:t>Esclans</w:t>
      </w:r>
      <w:proofErr w:type="spellEnd"/>
      <w:r w:rsidR="00CA10CF" w:rsidRPr="00F71827">
        <w:rPr>
          <w:color w:val="000000"/>
          <w:sz w:val="22"/>
          <w:szCs w:val="22"/>
          <w:lang w:val="fr-FR"/>
        </w:rPr>
        <w:t xml:space="preserve"> </w:t>
      </w:r>
      <w:r w:rsidR="0076473D" w:rsidRPr="00F71827">
        <w:rPr>
          <w:color w:val="000000"/>
          <w:sz w:val="22"/>
          <w:szCs w:val="22"/>
          <w:lang w:val="fr-FR"/>
        </w:rPr>
        <w:t>accentue s</w:t>
      </w:r>
      <w:r w:rsidR="00CA10CF" w:rsidRPr="00F71827">
        <w:rPr>
          <w:color w:val="000000"/>
          <w:sz w:val="22"/>
          <w:szCs w:val="22"/>
          <w:lang w:val="fr-FR"/>
        </w:rPr>
        <w:t xml:space="preserve">on expansion internationale </w:t>
      </w:r>
      <w:r w:rsidR="00060366" w:rsidRPr="00F71827">
        <w:rPr>
          <w:color w:val="000000"/>
          <w:sz w:val="22"/>
          <w:szCs w:val="22"/>
          <w:lang w:val="fr-FR"/>
        </w:rPr>
        <w:t xml:space="preserve">tandis que LVMH acquiert le prestigieux domaine </w:t>
      </w:r>
      <w:proofErr w:type="spellStart"/>
      <w:r w:rsidR="00060366" w:rsidRPr="00F71827">
        <w:rPr>
          <w:color w:val="000000"/>
          <w:sz w:val="22"/>
          <w:szCs w:val="22"/>
          <w:lang w:val="fr-FR"/>
        </w:rPr>
        <w:t>Minuty</w:t>
      </w:r>
      <w:proofErr w:type="spellEnd"/>
      <w:r w:rsidR="00060366" w:rsidRPr="00F71827">
        <w:rPr>
          <w:color w:val="000000"/>
          <w:sz w:val="22"/>
          <w:szCs w:val="22"/>
          <w:lang w:val="fr-FR"/>
        </w:rPr>
        <w:t xml:space="preserve">, l’un des leaders mondiaux. </w:t>
      </w:r>
      <w:r w:rsidR="00B63137" w:rsidRPr="00F71827">
        <w:rPr>
          <w:color w:val="000000"/>
          <w:sz w:val="22"/>
          <w:szCs w:val="22"/>
          <w:lang w:val="fr-FR"/>
        </w:rPr>
        <w:t xml:space="preserve">Le vignoble Joseph Phelps, l’une des propriétés viticoles les plus réputées de la Napa Valley, en Californie, est intégré pour la première fois dans les comptes du premier </w:t>
      </w:r>
      <w:r w:rsidR="00CA10CF" w:rsidRPr="00F71827">
        <w:rPr>
          <w:color w:val="000000"/>
          <w:sz w:val="22"/>
          <w:szCs w:val="22"/>
          <w:lang w:val="fr-FR"/>
        </w:rPr>
        <w:t>se</w:t>
      </w:r>
      <w:r w:rsidR="00B63137" w:rsidRPr="00F71827">
        <w:rPr>
          <w:color w:val="000000"/>
          <w:sz w:val="22"/>
          <w:szCs w:val="22"/>
          <w:lang w:val="fr-FR"/>
        </w:rPr>
        <w:t xml:space="preserve">mestre. Le whisky </w:t>
      </w:r>
      <w:proofErr w:type="spellStart"/>
      <w:r w:rsidR="00B63137" w:rsidRPr="00F71827">
        <w:rPr>
          <w:color w:val="000000"/>
          <w:sz w:val="22"/>
          <w:szCs w:val="22"/>
          <w:lang w:val="fr-FR"/>
        </w:rPr>
        <w:t>Glenmorangie</w:t>
      </w:r>
      <w:proofErr w:type="spellEnd"/>
      <w:r w:rsidR="00B63137" w:rsidRPr="00F71827">
        <w:rPr>
          <w:color w:val="000000"/>
          <w:sz w:val="22"/>
          <w:szCs w:val="22"/>
          <w:lang w:val="fr-FR"/>
        </w:rPr>
        <w:t xml:space="preserve"> et la vodka </w:t>
      </w:r>
      <w:proofErr w:type="spellStart"/>
      <w:r w:rsidR="00B63137" w:rsidRPr="00F71827">
        <w:rPr>
          <w:color w:val="000000"/>
          <w:sz w:val="22"/>
          <w:szCs w:val="22"/>
          <w:lang w:val="fr-FR"/>
        </w:rPr>
        <w:t>Belvedere</w:t>
      </w:r>
      <w:proofErr w:type="spellEnd"/>
      <w:r w:rsidR="00B63137" w:rsidRPr="00F71827">
        <w:rPr>
          <w:color w:val="000000"/>
          <w:sz w:val="22"/>
          <w:szCs w:val="22"/>
          <w:lang w:val="fr-FR"/>
        </w:rPr>
        <w:t xml:space="preserve"> </w:t>
      </w:r>
      <w:r w:rsidR="0076473D" w:rsidRPr="00F71827">
        <w:rPr>
          <w:color w:val="000000"/>
          <w:sz w:val="22"/>
          <w:szCs w:val="22"/>
          <w:lang w:val="fr-FR"/>
        </w:rPr>
        <w:t>poursuivent</w:t>
      </w:r>
      <w:r w:rsidR="007B3226" w:rsidRPr="00F71827">
        <w:rPr>
          <w:color w:val="000000"/>
          <w:sz w:val="22"/>
          <w:szCs w:val="22"/>
          <w:lang w:val="fr-FR"/>
        </w:rPr>
        <w:t xml:space="preserve"> </w:t>
      </w:r>
      <w:r w:rsidR="0076473D" w:rsidRPr="00F71827">
        <w:rPr>
          <w:color w:val="000000"/>
          <w:sz w:val="22"/>
          <w:szCs w:val="22"/>
          <w:lang w:val="fr-FR"/>
        </w:rPr>
        <w:t>une forte dynamique d’innovation</w:t>
      </w:r>
      <w:r w:rsidR="00B63137" w:rsidRPr="00F71827">
        <w:rPr>
          <w:color w:val="000000"/>
          <w:sz w:val="22"/>
          <w:szCs w:val="22"/>
          <w:lang w:val="fr-FR"/>
        </w:rPr>
        <w:t>.</w:t>
      </w:r>
    </w:p>
    <w:p w14:paraId="6EDDECA5" w14:textId="77777777" w:rsidR="00B63137" w:rsidRPr="00F71827" w:rsidRDefault="00B63137" w:rsidP="00B16F26">
      <w:pPr>
        <w:autoSpaceDE w:val="0"/>
        <w:autoSpaceDN w:val="0"/>
        <w:adjustRightInd w:val="0"/>
        <w:spacing w:line="240" w:lineRule="atLeast"/>
        <w:jc w:val="both"/>
        <w:rPr>
          <w:color w:val="000000"/>
          <w:sz w:val="22"/>
          <w:szCs w:val="22"/>
          <w:lang w:val="fr-FR"/>
        </w:rPr>
      </w:pPr>
    </w:p>
    <w:p w14:paraId="52CC57B9" w14:textId="77777777" w:rsidR="00E458BB" w:rsidRPr="00F71827" w:rsidRDefault="001744EE" w:rsidP="00E458BB">
      <w:pPr>
        <w:pStyle w:val="Corpsdetexte"/>
        <w:rPr>
          <w:b/>
          <w:snapToGrid w:val="0"/>
          <w:sz w:val="22"/>
          <w:szCs w:val="22"/>
        </w:rPr>
      </w:pPr>
      <w:bookmarkStart w:id="5" w:name="OLE_LINK1"/>
      <w:bookmarkStart w:id="6" w:name="OLE_LINK2"/>
      <w:bookmarkEnd w:id="3"/>
      <w:r w:rsidRPr="00F71827">
        <w:rPr>
          <w:b/>
          <w:snapToGrid w:val="0"/>
          <w:sz w:val="22"/>
          <w:szCs w:val="22"/>
        </w:rPr>
        <w:t xml:space="preserve">Mode et Maroquinerie : </w:t>
      </w:r>
      <w:r w:rsidR="00C91F75" w:rsidRPr="00F71827">
        <w:rPr>
          <w:b/>
          <w:snapToGrid w:val="0"/>
          <w:sz w:val="22"/>
          <w:szCs w:val="22"/>
        </w:rPr>
        <w:t xml:space="preserve">performances remarquables </w:t>
      </w:r>
      <w:r w:rsidR="00F3588E" w:rsidRPr="00F71827">
        <w:rPr>
          <w:b/>
          <w:snapToGrid w:val="0"/>
          <w:sz w:val="22"/>
          <w:szCs w:val="22"/>
        </w:rPr>
        <w:t>d</w:t>
      </w:r>
      <w:r w:rsidR="000966E1" w:rsidRPr="00F71827">
        <w:rPr>
          <w:b/>
          <w:snapToGrid w:val="0"/>
          <w:sz w:val="22"/>
          <w:szCs w:val="22"/>
        </w:rPr>
        <w:t>e Louis Vuitton</w:t>
      </w:r>
      <w:r w:rsidR="00E458BB" w:rsidRPr="00F71827">
        <w:rPr>
          <w:b/>
          <w:snapToGrid w:val="0"/>
          <w:sz w:val="22"/>
          <w:szCs w:val="22"/>
        </w:rPr>
        <w:t>,</w:t>
      </w:r>
      <w:r w:rsidR="00AB1351" w:rsidRPr="00F71827">
        <w:rPr>
          <w:b/>
          <w:snapToGrid w:val="0"/>
          <w:sz w:val="22"/>
          <w:szCs w:val="22"/>
        </w:rPr>
        <w:t xml:space="preserve"> Christian Dior</w:t>
      </w:r>
      <w:r w:rsidR="00E458BB" w:rsidRPr="00F71827">
        <w:rPr>
          <w:b/>
          <w:snapToGrid w:val="0"/>
          <w:sz w:val="22"/>
          <w:szCs w:val="22"/>
        </w:rPr>
        <w:t xml:space="preserve">, </w:t>
      </w:r>
      <w:proofErr w:type="spellStart"/>
      <w:r w:rsidR="00E458BB" w:rsidRPr="00F71827">
        <w:rPr>
          <w:b/>
          <w:snapToGrid w:val="0"/>
          <w:sz w:val="22"/>
          <w:szCs w:val="22"/>
        </w:rPr>
        <w:t>Celine</w:t>
      </w:r>
      <w:proofErr w:type="spellEnd"/>
      <w:r w:rsidR="00E458BB" w:rsidRPr="00F71827">
        <w:rPr>
          <w:b/>
          <w:snapToGrid w:val="0"/>
          <w:sz w:val="22"/>
          <w:szCs w:val="22"/>
        </w:rPr>
        <w:t>, Loro Piana, Loewe et Marc Jacobs</w:t>
      </w:r>
    </w:p>
    <w:p w14:paraId="044E2FB3" w14:textId="77777777" w:rsidR="00C140BD" w:rsidRPr="00F71827" w:rsidRDefault="00C140BD" w:rsidP="00C140BD">
      <w:pPr>
        <w:pStyle w:val="Corpsdetexte"/>
        <w:rPr>
          <w:snapToGrid w:val="0"/>
          <w:sz w:val="22"/>
          <w:szCs w:val="22"/>
        </w:rPr>
      </w:pPr>
    </w:p>
    <w:p w14:paraId="46889130" w14:textId="77777777" w:rsidR="00631BCE" w:rsidRPr="00F71827" w:rsidRDefault="00C45B37" w:rsidP="00C140BD">
      <w:pPr>
        <w:pStyle w:val="Corpsdetexte"/>
        <w:rPr>
          <w:sz w:val="22"/>
          <w:szCs w:val="22"/>
        </w:rPr>
      </w:pPr>
      <w:r w:rsidRPr="00F71827">
        <w:rPr>
          <w:snapToGrid w:val="0"/>
          <w:sz w:val="22"/>
          <w:szCs w:val="22"/>
        </w:rPr>
        <w:t xml:space="preserve">Le groupe d’activités </w:t>
      </w:r>
      <w:r w:rsidRPr="00F71827">
        <w:rPr>
          <w:b/>
          <w:snapToGrid w:val="0"/>
          <w:sz w:val="22"/>
          <w:szCs w:val="22"/>
        </w:rPr>
        <w:t>Mode et Maroquinerie</w:t>
      </w:r>
      <w:r w:rsidR="00E359ED" w:rsidRPr="00F71827">
        <w:rPr>
          <w:snapToGrid w:val="0"/>
          <w:sz w:val="22"/>
          <w:szCs w:val="22"/>
        </w:rPr>
        <w:t xml:space="preserve"> </w:t>
      </w:r>
      <w:r w:rsidR="00F6036B" w:rsidRPr="00F71827">
        <w:rPr>
          <w:sz w:val="22"/>
          <w:szCs w:val="22"/>
        </w:rPr>
        <w:t xml:space="preserve">enregistre </w:t>
      </w:r>
      <w:bookmarkEnd w:id="5"/>
      <w:bookmarkEnd w:id="6"/>
      <w:r w:rsidR="00631BCE" w:rsidRPr="00F71827">
        <w:rPr>
          <w:sz w:val="22"/>
          <w:szCs w:val="22"/>
        </w:rPr>
        <w:t xml:space="preserve">une </w:t>
      </w:r>
      <w:r w:rsidR="00C91F75" w:rsidRPr="00F71827">
        <w:rPr>
          <w:sz w:val="22"/>
          <w:szCs w:val="22"/>
        </w:rPr>
        <w:t xml:space="preserve">croissance </w:t>
      </w:r>
      <w:r w:rsidR="003D7AF7" w:rsidRPr="00F71827">
        <w:rPr>
          <w:sz w:val="22"/>
          <w:szCs w:val="22"/>
        </w:rPr>
        <w:t xml:space="preserve">organique </w:t>
      </w:r>
      <w:r w:rsidR="00631BCE" w:rsidRPr="00F71827">
        <w:rPr>
          <w:sz w:val="22"/>
          <w:szCs w:val="22"/>
        </w:rPr>
        <w:t xml:space="preserve">de </w:t>
      </w:r>
      <w:r w:rsidR="003D7AF7" w:rsidRPr="00F71827">
        <w:rPr>
          <w:sz w:val="22"/>
          <w:szCs w:val="22"/>
        </w:rPr>
        <w:t>20</w:t>
      </w:r>
      <w:r w:rsidR="00631BCE" w:rsidRPr="00F71827">
        <w:rPr>
          <w:sz w:val="22"/>
          <w:szCs w:val="22"/>
        </w:rPr>
        <w:t xml:space="preserve"> % de ses ventes au premier semestre 202</w:t>
      </w:r>
      <w:r w:rsidR="006C3860" w:rsidRPr="00F71827">
        <w:rPr>
          <w:sz w:val="22"/>
          <w:szCs w:val="22"/>
        </w:rPr>
        <w:t>3</w:t>
      </w:r>
      <w:r w:rsidR="00696C1E" w:rsidRPr="00F71827">
        <w:rPr>
          <w:sz w:val="22"/>
          <w:szCs w:val="22"/>
        </w:rPr>
        <w:t xml:space="preserve">. </w:t>
      </w:r>
      <w:r w:rsidR="00C91F75" w:rsidRPr="00F71827">
        <w:rPr>
          <w:color w:val="000000"/>
          <w:sz w:val="22"/>
          <w:szCs w:val="22"/>
        </w:rPr>
        <w:t xml:space="preserve">Le résultat opérationnel courant est en hausse de </w:t>
      </w:r>
      <w:r w:rsidR="00C320C8" w:rsidRPr="00F71827">
        <w:rPr>
          <w:color w:val="000000"/>
          <w:sz w:val="22"/>
          <w:szCs w:val="22"/>
        </w:rPr>
        <w:t>14</w:t>
      </w:r>
      <w:r w:rsidR="00C91F75" w:rsidRPr="00F71827">
        <w:rPr>
          <w:color w:val="000000"/>
          <w:sz w:val="22"/>
          <w:szCs w:val="22"/>
        </w:rPr>
        <w:t xml:space="preserve"> %</w:t>
      </w:r>
      <w:r w:rsidR="0058646C" w:rsidRPr="00F71827">
        <w:rPr>
          <w:color w:val="000000"/>
          <w:sz w:val="22"/>
          <w:szCs w:val="22"/>
        </w:rPr>
        <w:t xml:space="preserve">. </w:t>
      </w:r>
      <w:r w:rsidR="003D7AF7" w:rsidRPr="00F71827">
        <w:rPr>
          <w:color w:val="000000"/>
          <w:sz w:val="22"/>
          <w:szCs w:val="22"/>
        </w:rPr>
        <w:t xml:space="preserve">Louis Vuitton effectue un excellent semestre, toujours porté par une créativité exceptionnelle, la qualité de ses produits et ses liens forts avec l’art et la culture. </w:t>
      </w:r>
      <w:r w:rsidR="00E5797A" w:rsidRPr="00F71827">
        <w:rPr>
          <w:color w:val="000000"/>
          <w:sz w:val="22"/>
          <w:szCs w:val="22"/>
        </w:rPr>
        <w:t xml:space="preserve">Le talent de Nicolas Ghesquière pour faire dialoguer mode et architecture </w:t>
      </w:r>
      <w:r w:rsidR="003D7AF7" w:rsidRPr="00F71827">
        <w:rPr>
          <w:color w:val="000000"/>
          <w:sz w:val="22"/>
          <w:szCs w:val="22"/>
        </w:rPr>
        <w:t>continue de porter au plus haut la forte désirabilité des collections Femme. Un nouveau chapitre</w:t>
      </w:r>
      <w:r w:rsidR="00334584" w:rsidRPr="00F71827">
        <w:rPr>
          <w:color w:val="000000"/>
          <w:sz w:val="22"/>
          <w:szCs w:val="22"/>
        </w:rPr>
        <w:t xml:space="preserve"> </w:t>
      </w:r>
      <w:r w:rsidR="003D7AF7" w:rsidRPr="00F71827">
        <w:rPr>
          <w:color w:val="000000"/>
          <w:sz w:val="22"/>
          <w:szCs w:val="22"/>
        </w:rPr>
        <w:t xml:space="preserve">s’ouvre avec </w:t>
      </w:r>
      <w:r w:rsidR="0075250B" w:rsidRPr="00F71827">
        <w:rPr>
          <w:color w:val="000000"/>
          <w:sz w:val="22"/>
          <w:szCs w:val="22"/>
        </w:rPr>
        <w:t>l’arriv</w:t>
      </w:r>
      <w:r w:rsidR="00DE5E22" w:rsidRPr="00F71827">
        <w:rPr>
          <w:color w:val="000000"/>
          <w:sz w:val="22"/>
          <w:szCs w:val="22"/>
        </w:rPr>
        <w:t>ée</w:t>
      </w:r>
      <w:r w:rsidR="003D7AF7" w:rsidRPr="00F71827">
        <w:rPr>
          <w:color w:val="000000"/>
          <w:sz w:val="22"/>
          <w:szCs w:val="22"/>
        </w:rPr>
        <w:t xml:space="preserve"> comme Directeur Créatif Homme de </w:t>
      </w:r>
      <w:proofErr w:type="spellStart"/>
      <w:r w:rsidR="003D7AF7" w:rsidRPr="00F71827">
        <w:rPr>
          <w:color w:val="000000"/>
          <w:sz w:val="22"/>
          <w:szCs w:val="22"/>
        </w:rPr>
        <w:t>Pharrell</w:t>
      </w:r>
      <w:proofErr w:type="spellEnd"/>
      <w:r w:rsidR="003D7AF7" w:rsidRPr="00F71827">
        <w:rPr>
          <w:color w:val="000000"/>
          <w:sz w:val="22"/>
          <w:szCs w:val="22"/>
        </w:rPr>
        <w:t xml:space="preserve"> Williams. Avec pour podium le Pont-Neuf, son premier défilé a suscité un immense enthousiasme avec plus de 1,1 milliard de vues sur les réseaux sociaux, un niveau record jamais atteint. Christian Dior poursuit sa croissance remarquable dans toutes ses catégories de produits. </w:t>
      </w:r>
      <w:r w:rsidR="000227FC" w:rsidRPr="00F71827">
        <w:rPr>
          <w:color w:val="000000"/>
          <w:sz w:val="22"/>
          <w:szCs w:val="22"/>
        </w:rPr>
        <w:t>A Mumbai, à Mexico</w:t>
      </w:r>
      <w:r w:rsidR="00C66556" w:rsidRPr="00F71827">
        <w:rPr>
          <w:color w:val="000000"/>
          <w:sz w:val="22"/>
          <w:szCs w:val="22"/>
        </w:rPr>
        <w:t xml:space="preserve"> ou </w:t>
      </w:r>
      <w:r w:rsidR="000227FC" w:rsidRPr="00F71827">
        <w:rPr>
          <w:color w:val="000000"/>
          <w:sz w:val="22"/>
          <w:szCs w:val="22"/>
        </w:rPr>
        <w:t>à Paris, c</w:t>
      </w:r>
      <w:r w:rsidR="003D7AF7" w:rsidRPr="00F71827">
        <w:rPr>
          <w:color w:val="000000"/>
          <w:sz w:val="22"/>
          <w:szCs w:val="22"/>
        </w:rPr>
        <w:t xml:space="preserve">hacun des défilés </w:t>
      </w:r>
      <w:r w:rsidR="000227FC" w:rsidRPr="00F71827">
        <w:rPr>
          <w:color w:val="000000"/>
          <w:sz w:val="22"/>
          <w:szCs w:val="22"/>
        </w:rPr>
        <w:t>imaginés par Maria</w:t>
      </w:r>
      <w:r w:rsidR="005F7E25" w:rsidRPr="00F71827">
        <w:rPr>
          <w:color w:val="000000"/>
          <w:sz w:val="22"/>
          <w:szCs w:val="22"/>
        </w:rPr>
        <w:t xml:space="preserve"> </w:t>
      </w:r>
      <w:r w:rsidR="000227FC" w:rsidRPr="00F71827">
        <w:rPr>
          <w:color w:val="000000"/>
          <w:sz w:val="22"/>
          <w:szCs w:val="22"/>
        </w:rPr>
        <w:t xml:space="preserve">Grazia </w:t>
      </w:r>
      <w:proofErr w:type="spellStart"/>
      <w:r w:rsidR="000227FC" w:rsidRPr="00F71827">
        <w:rPr>
          <w:color w:val="000000"/>
          <w:sz w:val="22"/>
          <w:szCs w:val="22"/>
        </w:rPr>
        <w:t>Chiuri</w:t>
      </w:r>
      <w:proofErr w:type="spellEnd"/>
      <w:r w:rsidR="000227FC" w:rsidRPr="00F71827">
        <w:rPr>
          <w:sz w:val="22"/>
          <w:szCs w:val="22"/>
        </w:rPr>
        <w:t xml:space="preserve"> </w:t>
      </w:r>
      <w:r w:rsidR="00411FAD" w:rsidRPr="00F71827">
        <w:rPr>
          <w:sz w:val="22"/>
          <w:szCs w:val="22"/>
        </w:rPr>
        <w:t>met en</w:t>
      </w:r>
      <w:r w:rsidR="0098077C" w:rsidRPr="00F71827">
        <w:rPr>
          <w:color w:val="000000"/>
          <w:sz w:val="22"/>
          <w:szCs w:val="22"/>
        </w:rPr>
        <w:t xml:space="preserve"> lumière des artisanats d’excellence</w:t>
      </w:r>
      <w:r w:rsidR="003D7AF7" w:rsidRPr="00F71827">
        <w:rPr>
          <w:color w:val="000000"/>
          <w:sz w:val="22"/>
          <w:szCs w:val="22"/>
        </w:rPr>
        <w:t>.</w:t>
      </w:r>
      <w:r w:rsidR="000227FC" w:rsidRPr="00F71827">
        <w:rPr>
          <w:color w:val="000000"/>
          <w:sz w:val="22"/>
          <w:szCs w:val="22"/>
        </w:rPr>
        <w:t xml:space="preserve"> </w:t>
      </w:r>
      <w:r w:rsidR="00C111DC" w:rsidRPr="00F71827">
        <w:rPr>
          <w:color w:val="000000"/>
          <w:sz w:val="22"/>
          <w:szCs w:val="22"/>
        </w:rPr>
        <w:t xml:space="preserve">Le sac </w:t>
      </w:r>
      <w:r w:rsidR="00C111DC" w:rsidRPr="00F71827">
        <w:rPr>
          <w:i/>
          <w:iCs/>
          <w:color w:val="000000"/>
          <w:sz w:val="22"/>
          <w:szCs w:val="22"/>
        </w:rPr>
        <w:t>Lady Dior</w:t>
      </w:r>
      <w:r w:rsidR="00C111DC" w:rsidRPr="00F71827">
        <w:rPr>
          <w:color w:val="000000"/>
          <w:sz w:val="22"/>
          <w:szCs w:val="22"/>
        </w:rPr>
        <w:t>, icône de la Maison Dior, était également mis à l’honneur dans l’exposition « Christian Dior, Couturier du Rêve » au Musée d’Art Contemporain de Tokyo.</w:t>
      </w:r>
      <w:r w:rsidR="00D660F4" w:rsidRPr="00F71827">
        <w:rPr>
          <w:color w:val="000000"/>
          <w:sz w:val="22"/>
          <w:szCs w:val="22"/>
        </w:rPr>
        <w:t xml:space="preserve"> Les modèles d’exception Dior Homme de Kim Jones et les créations uniques de Victoire de Castellane en haute joaillerie étendent la portée des savoir-faire d’excellence de la Maison à un niveau contemporain sans précédent.</w:t>
      </w:r>
      <w:r w:rsidR="00C111DC" w:rsidRPr="00F71827">
        <w:rPr>
          <w:color w:val="000000"/>
          <w:sz w:val="22"/>
          <w:szCs w:val="22"/>
        </w:rPr>
        <w:t xml:space="preserve"> </w:t>
      </w:r>
      <w:proofErr w:type="spellStart"/>
      <w:r w:rsidR="00222575" w:rsidRPr="00F71827">
        <w:rPr>
          <w:sz w:val="22"/>
          <w:szCs w:val="22"/>
        </w:rPr>
        <w:t>Celine</w:t>
      </w:r>
      <w:proofErr w:type="spellEnd"/>
      <w:r w:rsidR="00222575" w:rsidRPr="00F71827">
        <w:rPr>
          <w:sz w:val="22"/>
          <w:szCs w:val="22"/>
        </w:rPr>
        <w:t xml:space="preserve"> </w:t>
      </w:r>
      <w:r w:rsidR="00030605" w:rsidRPr="00F71827">
        <w:rPr>
          <w:sz w:val="22"/>
          <w:szCs w:val="22"/>
        </w:rPr>
        <w:t>continue d’</w:t>
      </w:r>
      <w:r w:rsidR="00E458BB" w:rsidRPr="00F71827">
        <w:rPr>
          <w:sz w:val="22"/>
          <w:szCs w:val="22"/>
        </w:rPr>
        <w:t>élever</w:t>
      </w:r>
      <w:r w:rsidR="00030605" w:rsidRPr="00F71827">
        <w:rPr>
          <w:sz w:val="22"/>
          <w:szCs w:val="22"/>
        </w:rPr>
        <w:t xml:space="preserve"> sa désirabilité grâce </w:t>
      </w:r>
      <w:r w:rsidR="003A59A2" w:rsidRPr="00F71827">
        <w:rPr>
          <w:sz w:val="22"/>
          <w:szCs w:val="22"/>
        </w:rPr>
        <w:t xml:space="preserve">au succès des créations et des défilés </w:t>
      </w:r>
      <w:r w:rsidR="00030605" w:rsidRPr="00F71827">
        <w:rPr>
          <w:sz w:val="22"/>
          <w:szCs w:val="22"/>
        </w:rPr>
        <w:t xml:space="preserve">d’Hedi Slimane. Loewe, porté par la créativité audacieuse de J.W. Anderson, </w:t>
      </w:r>
      <w:r w:rsidR="00E5797A" w:rsidRPr="00F71827">
        <w:rPr>
          <w:sz w:val="22"/>
          <w:szCs w:val="22"/>
        </w:rPr>
        <w:t xml:space="preserve">poursuit le renforcement de sa distribution avec </w:t>
      </w:r>
      <w:r w:rsidR="006D014D" w:rsidRPr="00F71827">
        <w:rPr>
          <w:sz w:val="22"/>
          <w:szCs w:val="22"/>
        </w:rPr>
        <w:t>notamment l’ouverture de Casa Dubaï</w:t>
      </w:r>
      <w:r w:rsidR="00E5797A" w:rsidRPr="00F71827">
        <w:rPr>
          <w:sz w:val="22"/>
          <w:szCs w:val="22"/>
        </w:rPr>
        <w:t>.</w:t>
      </w:r>
      <w:r w:rsidR="00030605" w:rsidRPr="00F71827">
        <w:rPr>
          <w:sz w:val="22"/>
          <w:szCs w:val="22"/>
        </w:rPr>
        <w:t xml:space="preserve"> </w:t>
      </w:r>
      <w:proofErr w:type="spellStart"/>
      <w:r w:rsidR="00030605" w:rsidRPr="00F71827">
        <w:rPr>
          <w:sz w:val="22"/>
          <w:szCs w:val="22"/>
        </w:rPr>
        <w:t>Fendi</w:t>
      </w:r>
      <w:proofErr w:type="spellEnd"/>
      <w:r w:rsidR="00030605" w:rsidRPr="00F71827">
        <w:rPr>
          <w:sz w:val="22"/>
          <w:szCs w:val="22"/>
        </w:rPr>
        <w:t xml:space="preserve"> inaugure de nouvelles boutiques à Séoul et à Tokyo. </w:t>
      </w:r>
      <w:r w:rsidR="00755175" w:rsidRPr="00F71827">
        <w:rPr>
          <w:sz w:val="22"/>
          <w:szCs w:val="22"/>
        </w:rPr>
        <w:t xml:space="preserve">Loro Piana, </w:t>
      </w:r>
      <w:proofErr w:type="spellStart"/>
      <w:r w:rsidR="00755175" w:rsidRPr="00F71827">
        <w:rPr>
          <w:sz w:val="22"/>
          <w:szCs w:val="22"/>
        </w:rPr>
        <w:t>Rimowa</w:t>
      </w:r>
      <w:proofErr w:type="spellEnd"/>
      <w:r w:rsidR="00755175" w:rsidRPr="00F71827">
        <w:rPr>
          <w:sz w:val="22"/>
          <w:szCs w:val="22"/>
        </w:rPr>
        <w:t xml:space="preserve">, Marc Jacobs et </w:t>
      </w:r>
      <w:proofErr w:type="spellStart"/>
      <w:r w:rsidR="00755175" w:rsidRPr="00F71827">
        <w:rPr>
          <w:sz w:val="22"/>
          <w:szCs w:val="22"/>
        </w:rPr>
        <w:t>Berluti</w:t>
      </w:r>
      <w:proofErr w:type="spellEnd"/>
      <w:r w:rsidR="00755175" w:rsidRPr="00F71827">
        <w:rPr>
          <w:sz w:val="22"/>
          <w:szCs w:val="22"/>
        </w:rPr>
        <w:t xml:space="preserve"> réalisent un excellent début d’année.  </w:t>
      </w:r>
    </w:p>
    <w:p w14:paraId="0036A9E5" w14:textId="77777777" w:rsidR="00755175" w:rsidRPr="00F71827" w:rsidRDefault="00755175" w:rsidP="00C140BD">
      <w:pPr>
        <w:pStyle w:val="Corpsdetexte"/>
        <w:rPr>
          <w:snapToGrid w:val="0"/>
          <w:sz w:val="22"/>
          <w:szCs w:val="22"/>
        </w:rPr>
      </w:pPr>
    </w:p>
    <w:p w14:paraId="4C20664C" w14:textId="77777777" w:rsidR="00913387" w:rsidRPr="00F71827" w:rsidRDefault="00A12DD5" w:rsidP="00A12DD5">
      <w:pPr>
        <w:pStyle w:val="Corpsdetexte"/>
        <w:rPr>
          <w:b/>
          <w:snapToGrid w:val="0"/>
          <w:sz w:val="22"/>
          <w:szCs w:val="22"/>
        </w:rPr>
      </w:pPr>
      <w:r w:rsidRPr="00F71827">
        <w:rPr>
          <w:b/>
          <w:snapToGrid w:val="0"/>
          <w:sz w:val="22"/>
          <w:szCs w:val="22"/>
        </w:rPr>
        <w:t>Parfums et Cosmétiques :</w:t>
      </w:r>
      <w:r w:rsidR="004D2EAD" w:rsidRPr="00F71827">
        <w:rPr>
          <w:b/>
          <w:snapToGrid w:val="0"/>
          <w:sz w:val="22"/>
          <w:szCs w:val="22"/>
        </w:rPr>
        <w:t xml:space="preserve"> </w:t>
      </w:r>
      <w:r w:rsidR="00913387" w:rsidRPr="00F71827">
        <w:rPr>
          <w:b/>
          <w:snapToGrid w:val="0"/>
          <w:sz w:val="22"/>
          <w:szCs w:val="22"/>
        </w:rPr>
        <w:t>fort</w:t>
      </w:r>
      <w:r w:rsidR="003F0997" w:rsidRPr="00F71827">
        <w:rPr>
          <w:b/>
          <w:snapToGrid w:val="0"/>
          <w:sz w:val="22"/>
          <w:szCs w:val="22"/>
        </w:rPr>
        <w:t xml:space="preserve">e dynamique </w:t>
      </w:r>
      <w:r w:rsidR="00913387" w:rsidRPr="00F71827">
        <w:rPr>
          <w:b/>
          <w:snapToGrid w:val="0"/>
          <w:sz w:val="22"/>
          <w:szCs w:val="22"/>
        </w:rPr>
        <w:t>du parfum</w:t>
      </w:r>
      <w:r w:rsidR="00720DA1" w:rsidRPr="00F71827">
        <w:rPr>
          <w:b/>
          <w:snapToGrid w:val="0"/>
          <w:sz w:val="22"/>
          <w:szCs w:val="22"/>
        </w:rPr>
        <w:t xml:space="preserve"> et</w:t>
      </w:r>
      <w:r w:rsidR="004D2EAD" w:rsidRPr="00F71827">
        <w:rPr>
          <w:b/>
          <w:snapToGrid w:val="0"/>
          <w:sz w:val="22"/>
          <w:szCs w:val="22"/>
        </w:rPr>
        <w:t xml:space="preserve"> du</w:t>
      </w:r>
      <w:r w:rsidR="003F0997" w:rsidRPr="00F71827">
        <w:rPr>
          <w:b/>
          <w:snapToGrid w:val="0"/>
          <w:sz w:val="22"/>
          <w:szCs w:val="22"/>
        </w:rPr>
        <w:t xml:space="preserve"> maquillage</w:t>
      </w:r>
      <w:r w:rsidR="004D2EAD" w:rsidRPr="00F71827">
        <w:rPr>
          <w:b/>
          <w:snapToGrid w:val="0"/>
          <w:sz w:val="22"/>
          <w:szCs w:val="22"/>
        </w:rPr>
        <w:t>, maintien d’une</w:t>
      </w:r>
      <w:r w:rsidR="00253193" w:rsidRPr="00F71827">
        <w:rPr>
          <w:b/>
          <w:snapToGrid w:val="0"/>
          <w:sz w:val="22"/>
          <w:szCs w:val="22"/>
        </w:rPr>
        <w:t xml:space="preserve"> </w:t>
      </w:r>
      <w:r w:rsidR="004D2EAD" w:rsidRPr="00F71827">
        <w:rPr>
          <w:b/>
          <w:snapToGrid w:val="0"/>
          <w:sz w:val="22"/>
          <w:szCs w:val="22"/>
        </w:rPr>
        <w:t>distribution</w:t>
      </w:r>
      <w:r w:rsidR="00720DA1" w:rsidRPr="00F71827">
        <w:rPr>
          <w:b/>
          <w:snapToGrid w:val="0"/>
          <w:sz w:val="22"/>
          <w:szCs w:val="22"/>
        </w:rPr>
        <w:t xml:space="preserve"> très</w:t>
      </w:r>
      <w:r w:rsidR="003F0997" w:rsidRPr="00F71827">
        <w:rPr>
          <w:b/>
          <w:snapToGrid w:val="0"/>
          <w:sz w:val="22"/>
          <w:szCs w:val="22"/>
        </w:rPr>
        <w:t> </w:t>
      </w:r>
      <w:r w:rsidR="004D2EAD" w:rsidRPr="00F71827">
        <w:rPr>
          <w:b/>
          <w:snapToGrid w:val="0"/>
          <w:sz w:val="22"/>
          <w:szCs w:val="22"/>
        </w:rPr>
        <w:t>sélective </w:t>
      </w:r>
      <w:r w:rsidR="00720DA1" w:rsidRPr="00F71827">
        <w:rPr>
          <w:b/>
          <w:snapToGrid w:val="0"/>
          <w:sz w:val="22"/>
          <w:szCs w:val="22"/>
        </w:rPr>
        <w:t>et qualitative</w:t>
      </w:r>
    </w:p>
    <w:p w14:paraId="12013C9E" w14:textId="77777777" w:rsidR="00A12DD5" w:rsidRPr="00F71827" w:rsidRDefault="00913387" w:rsidP="00A12DD5">
      <w:pPr>
        <w:pStyle w:val="Corpsdetexte"/>
        <w:rPr>
          <w:sz w:val="22"/>
          <w:szCs w:val="22"/>
        </w:rPr>
      </w:pPr>
      <w:r w:rsidRPr="00F71827">
        <w:rPr>
          <w:b/>
          <w:snapToGrid w:val="0"/>
          <w:sz w:val="22"/>
          <w:szCs w:val="22"/>
        </w:rPr>
        <w:t xml:space="preserve"> </w:t>
      </w:r>
    </w:p>
    <w:p w14:paraId="547F3471" w14:textId="77777777" w:rsidR="00B415C7" w:rsidRPr="000E63B7" w:rsidRDefault="00A12DD5" w:rsidP="005418F2">
      <w:pPr>
        <w:jc w:val="both"/>
        <w:rPr>
          <w:sz w:val="22"/>
          <w:szCs w:val="22"/>
          <w:lang w:val="fr-FR"/>
        </w:rPr>
      </w:pPr>
      <w:r w:rsidRPr="00F71827">
        <w:rPr>
          <w:sz w:val="22"/>
          <w:szCs w:val="22"/>
          <w:lang w:val="fr-FR"/>
        </w:rPr>
        <w:t xml:space="preserve">L’activité </w:t>
      </w:r>
      <w:r w:rsidRPr="00F71827">
        <w:rPr>
          <w:b/>
          <w:sz w:val="22"/>
          <w:szCs w:val="22"/>
          <w:lang w:val="fr-FR"/>
        </w:rPr>
        <w:t>Parfums et Cosmétiques</w:t>
      </w:r>
      <w:r w:rsidRPr="00F71827">
        <w:rPr>
          <w:sz w:val="22"/>
          <w:szCs w:val="22"/>
          <w:lang w:val="fr-FR"/>
        </w:rPr>
        <w:t xml:space="preserve"> enregistre une </w:t>
      </w:r>
      <w:r w:rsidR="006168AC" w:rsidRPr="00F71827">
        <w:rPr>
          <w:sz w:val="22"/>
          <w:szCs w:val="22"/>
          <w:lang w:val="fr-FR"/>
        </w:rPr>
        <w:t xml:space="preserve">croissance organique </w:t>
      </w:r>
      <w:r w:rsidR="00C16CBC" w:rsidRPr="00F71827">
        <w:rPr>
          <w:sz w:val="22"/>
          <w:szCs w:val="22"/>
          <w:lang w:val="fr-FR"/>
        </w:rPr>
        <w:t xml:space="preserve">de </w:t>
      </w:r>
      <w:r w:rsidR="004B6BBB" w:rsidRPr="00F71827">
        <w:rPr>
          <w:sz w:val="22"/>
          <w:szCs w:val="22"/>
          <w:lang w:val="fr-FR"/>
        </w:rPr>
        <w:t>13</w:t>
      </w:r>
      <w:r w:rsidRPr="00F71827">
        <w:rPr>
          <w:sz w:val="22"/>
          <w:szCs w:val="22"/>
          <w:lang w:val="fr-FR"/>
        </w:rPr>
        <w:t xml:space="preserve"> % de ses ventes</w:t>
      </w:r>
      <w:r w:rsidR="00C16CBC" w:rsidRPr="00F71827">
        <w:rPr>
          <w:sz w:val="22"/>
          <w:szCs w:val="22"/>
          <w:lang w:val="fr-FR"/>
        </w:rPr>
        <w:t xml:space="preserve"> au premier semestre 202</w:t>
      </w:r>
      <w:r w:rsidR="00720DA1" w:rsidRPr="00F71827">
        <w:rPr>
          <w:sz w:val="22"/>
          <w:szCs w:val="22"/>
          <w:lang w:val="fr-FR"/>
        </w:rPr>
        <w:t>3</w:t>
      </w:r>
      <w:r w:rsidR="004B6BBB" w:rsidRPr="00F71827">
        <w:rPr>
          <w:sz w:val="22"/>
          <w:szCs w:val="22"/>
          <w:lang w:val="fr-FR"/>
        </w:rPr>
        <w:t xml:space="preserve"> </w:t>
      </w:r>
      <w:r w:rsidR="006B1925" w:rsidRPr="00F71827">
        <w:rPr>
          <w:sz w:val="22"/>
          <w:szCs w:val="22"/>
          <w:lang w:val="fr-FR"/>
        </w:rPr>
        <w:t xml:space="preserve">grâce à une </w:t>
      </w:r>
      <w:r w:rsidR="00EB4535" w:rsidRPr="00F71827">
        <w:rPr>
          <w:sz w:val="22"/>
          <w:szCs w:val="22"/>
          <w:lang w:val="fr-FR"/>
        </w:rPr>
        <w:t xml:space="preserve">dynamique forte </w:t>
      </w:r>
      <w:r w:rsidR="006B1925" w:rsidRPr="00F71827">
        <w:rPr>
          <w:sz w:val="22"/>
          <w:szCs w:val="22"/>
          <w:lang w:val="fr-FR"/>
        </w:rPr>
        <w:t>d’innovation</w:t>
      </w:r>
      <w:r w:rsidR="00EB4535" w:rsidRPr="00F71827">
        <w:rPr>
          <w:sz w:val="22"/>
          <w:szCs w:val="22"/>
          <w:lang w:val="fr-FR"/>
        </w:rPr>
        <w:t xml:space="preserve"> </w:t>
      </w:r>
      <w:r w:rsidR="006B1925" w:rsidRPr="00F71827">
        <w:rPr>
          <w:sz w:val="22"/>
          <w:szCs w:val="22"/>
          <w:lang w:val="fr-FR"/>
        </w:rPr>
        <w:t xml:space="preserve">alliée </w:t>
      </w:r>
      <w:r w:rsidR="00EB4535" w:rsidRPr="00F71827">
        <w:rPr>
          <w:sz w:val="22"/>
          <w:szCs w:val="22"/>
          <w:lang w:val="fr-FR"/>
        </w:rPr>
        <w:t xml:space="preserve">à une politique très sélective de </w:t>
      </w:r>
      <w:r w:rsidR="006B1925" w:rsidRPr="00F71827">
        <w:rPr>
          <w:sz w:val="22"/>
          <w:szCs w:val="22"/>
          <w:lang w:val="fr-FR"/>
        </w:rPr>
        <w:t>distribution</w:t>
      </w:r>
      <w:r w:rsidR="00F636A1" w:rsidRPr="00F71827">
        <w:rPr>
          <w:sz w:val="22"/>
          <w:szCs w:val="22"/>
          <w:lang w:val="fr-FR"/>
        </w:rPr>
        <w:t>.</w:t>
      </w:r>
      <w:r w:rsidRPr="00F71827">
        <w:rPr>
          <w:sz w:val="22"/>
          <w:szCs w:val="22"/>
          <w:lang w:val="fr-FR"/>
        </w:rPr>
        <w:t xml:space="preserve"> </w:t>
      </w:r>
      <w:r w:rsidR="00725D22" w:rsidRPr="000E63B7">
        <w:rPr>
          <w:sz w:val="22"/>
          <w:szCs w:val="22"/>
          <w:lang w:val="fr-FR"/>
        </w:rPr>
        <w:t xml:space="preserve">Le </w:t>
      </w:r>
      <w:r w:rsidRPr="000E63B7">
        <w:rPr>
          <w:sz w:val="22"/>
          <w:szCs w:val="22"/>
          <w:lang w:val="fr-FR"/>
        </w:rPr>
        <w:t>résultat opérationnel courant</w:t>
      </w:r>
      <w:r w:rsidR="001831F3" w:rsidRPr="000E63B7">
        <w:rPr>
          <w:sz w:val="22"/>
          <w:szCs w:val="22"/>
          <w:lang w:val="fr-FR"/>
        </w:rPr>
        <w:t xml:space="preserve"> </w:t>
      </w:r>
      <w:r w:rsidR="00A53ECD" w:rsidRPr="000E63B7">
        <w:rPr>
          <w:sz w:val="22"/>
          <w:szCs w:val="22"/>
          <w:lang w:val="fr-FR"/>
        </w:rPr>
        <w:t>est</w:t>
      </w:r>
      <w:r w:rsidR="008F4E9E" w:rsidRPr="000E63B7">
        <w:rPr>
          <w:sz w:val="22"/>
          <w:szCs w:val="22"/>
          <w:lang w:val="fr-FR"/>
        </w:rPr>
        <w:t xml:space="preserve"> en</w:t>
      </w:r>
      <w:r w:rsidR="002F477A" w:rsidRPr="000E63B7">
        <w:rPr>
          <w:sz w:val="22"/>
          <w:szCs w:val="22"/>
          <w:lang w:val="fr-FR"/>
        </w:rPr>
        <w:t xml:space="preserve"> hausse de </w:t>
      </w:r>
      <w:r w:rsidR="00C320C8" w:rsidRPr="000E63B7">
        <w:rPr>
          <w:sz w:val="22"/>
          <w:szCs w:val="22"/>
          <w:lang w:val="fr-FR"/>
        </w:rPr>
        <w:t>15</w:t>
      </w:r>
      <w:r w:rsidR="008F4E9E" w:rsidRPr="000E63B7">
        <w:rPr>
          <w:sz w:val="22"/>
          <w:szCs w:val="22"/>
          <w:lang w:val="fr-FR"/>
        </w:rPr>
        <w:t xml:space="preserve"> %</w:t>
      </w:r>
      <w:r w:rsidR="00913387" w:rsidRPr="000E63B7">
        <w:rPr>
          <w:sz w:val="22"/>
          <w:szCs w:val="22"/>
          <w:lang w:val="fr-FR"/>
        </w:rPr>
        <w:t xml:space="preserve">. </w:t>
      </w:r>
      <w:r w:rsidR="00435CF6" w:rsidRPr="00F71827">
        <w:rPr>
          <w:sz w:val="22"/>
          <w:szCs w:val="22"/>
          <w:lang w:val="fr-FR"/>
        </w:rPr>
        <w:t xml:space="preserve">Christian Dior </w:t>
      </w:r>
      <w:r w:rsidR="003F0997" w:rsidRPr="00F71827">
        <w:rPr>
          <w:sz w:val="22"/>
          <w:szCs w:val="22"/>
          <w:lang w:val="fr-FR"/>
        </w:rPr>
        <w:t xml:space="preserve">réalise une performance remarquable, renforçant son leadership </w:t>
      </w:r>
      <w:r w:rsidR="006B1925" w:rsidRPr="00F71827">
        <w:rPr>
          <w:sz w:val="22"/>
          <w:szCs w:val="22"/>
          <w:lang w:val="fr-FR"/>
        </w:rPr>
        <w:t>sur ses marchés stratégiques</w:t>
      </w:r>
      <w:r w:rsidR="006E1282" w:rsidRPr="00F71827">
        <w:rPr>
          <w:sz w:val="22"/>
          <w:szCs w:val="22"/>
          <w:lang w:val="fr-FR"/>
        </w:rPr>
        <w:t xml:space="preserve">. </w:t>
      </w:r>
      <w:r w:rsidR="003F0997" w:rsidRPr="000E63B7">
        <w:rPr>
          <w:i/>
          <w:iCs/>
          <w:sz w:val="22"/>
          <w:szCs w:val="22"/>
          <w:lang w:val="fr-FR"/>
        </w:rPr>
        <w:t>Sauvage</w:t>
      </w:r>
      <w:r w:rsidR="003F0997" w:rsidRPr="000E63B7">
        <w:rPr>
          <w:sz w:val="22"/>
          <w:szCs w:val="22"/>
          <w:lang w:val="fr-FR"/>
        </w:rPr>
        <w:t xml:space="preserve"> confirme sa position de premier parfum au monde </w:t>
      </w:r>
      <w:r w:rsidR="006B1925" w:rsidRPr="000E63B7">
        <w:rPr>
          <w:sz w:val="22"/>
          <w:szCs w:val="22"/>
          <w:lang w:val="fr-FR"/>
        </w:rPr>
        <w:t xml:space="preserve">tandis que </w:t>
      </w:r>
      <w:r w:rsidR="003F0997" w:rsidRPr="000E63B7">
        <w:rPr>
          <w:sz w:val="22"/>
          <w:szCs w:val="22"/>
          <w:lang w:val="fr-FR"/>
        </w:rPr>
        <w:t>les fragrances féminines</w:t>
      </w:r>
      <w:r w:rsidR="008A6FFC" w:rsidRPr="000E63B7">
        <w:rPr>
          <w:sz w:val="22"/>
          <w:szCs w:val="22"/>
          <w:lang w:val="fr-FR"/>
        </w:rPr>
        <w:t xml:space="preserve"> iconiques</w:t>
      </w:r>
      <w:r w:rsidR="003F0997" w:rsidRPr="000E63B7">
        <w:rPr>
          <w:sz w:val="22"/>
          <w:szCs w:val="22"/>
          <w:lang w:val="fr-FR"/>
        </w:rPr>
        <w:t xml:space="preserve"> </w:t>
      </w:r>
      <w:r w:rsidR="003F0997" w:rsidRPr="000E63B7">
        <w:rPr>
          <w:i/>
          <w:iCs/>
          <w:sz w:val="22"/>
          <w:szCs w:val="22"/>
          <w:lang w:val="fr-FR"/>
        </w:rPr>
        <w:t>J’adore</w:t>
      </w:r>
      <w:r w:rsidR="003F0997" w:rsidRPr="000E63B7">
        <w:rPr>
          <w:sz w:val="22"/>
          <w:szCs w:val="22"/>
          <w:lang w:val="fr-FR"/>
        </w:rPr>
        <w:t xml:space="preserve"> et </w:t>
      </w:r>
      <w:r w:rsidR="003F0997" w:rsidRPr="000E63B7">
        <w:rPr>
          <w:i/>
          <w:iCs/>
          <w:sz w:val="22"/>
          <w:szCs w:val="22"/>
          <w:lang w:val="fr-FR"/>
        </w:rPr>
        <w:t>Miss Dior</w:t>
      </w:r>
      <w:r w:rsidR="003F0997" w:rsidRPr="000E63B7">
        <w:rPr>
          <w:sz w:val="22"/>
          <w:szCs w:val="22"/>
          <w:lang w:val="fr-FR"/>
        </w:rPr>
        <w:t xml:space="preserve"> connaissent un succès continu. </w:t>
      </w:r>
      <w:r w:rsidR="003F0997" w:rsidRPr="00F71827">
        <w:rPr>
          <w:sz w:val="22"/>
          <w:szCs w:val="22"/>
          <w:lang w:val="fr-FR"/>
        </w:rPr>
        <w:t>Le maquillage contribue également aux bons résultats de la Maison</w:t>
      </w:r>
      <w:r w:rsidR="007F1864" w:rsidRPr="00F71827">
        <w:rPr>
          <w:sz w:val="22"/>
          <w:szCs w:val="22"/>
          <w:lang w:val="fr-FR"/>
        </w:rPr>
        <w:t xml:space="preserve">, notamment avec </w:t>
      </w:r>
      <w:r w:rsidR="007F1864" w:rsidRPr="00F71827">
        <w:rPr>
          <w:i/>
          <w:iCs/>
          <w:sz w:val="22"/>
          <w:szCs w:val="22"/>
          <w:lang w:val="fr-FR"/>
        </w:rPr>
        <w:t xml:space="preserve">Dior Addict Lip </w:t>
      </w:r>
      <w:proofErr w:type="spellStart"/>
      <w:r w:rsidR="007F1864" w:rsidRPr="00F71827">
        <w:rPr>
          <w:i/>
          <w:iCs/>
          <w:sz w:val="22"/>
          <w:szCs w:val="22"/>
          <w:lang w:val="fr-FR"/>
        </w:rPr>
        <w:t>Maximizer</w:t>
      </w:r>
      <w:proofErr w:type="spellEnd"/>
      <w:r w:rsidR="007F1864" w:rsidRPr="00F71827">
        <w:rPr>
          <w:sz w:val="22"/>
          <w:szCs w:val="22"/>
          <w:lang w:val="fr-FR"/>
        </w:rPr>
        <w:t xml:space="preserve"> et </w:t>
      </w:r>
      <w:proofErr w:type="spellStart"/>
      <w:r w:rsidR="007F1864" w:rsidRPr="00F71827">
        <w:rPr>
          <w:i/>
          <w:iCs/>
          <w:sz w:val="22"/>
          <w:szCs w:val="22"/>
          <w:lang w:val="fr-FR"/>
        </w:rPr>
        <w:t>Forever</w:t>
      </w:r>
      <w:proofErr w:type="spellEnd"/>
      <w:r w:rsidR="007F1864" w:rsidRPr="00F71827">
        <w:rPr>
          <w:i/>
          <w:iCs/>
          <w:sz w:val="22"/>
          <w:szCs w:val="22"/>
          <w:lang w:val="fr-FR"/>
        </w:rPr>
        <w:t xml:space="preserve"> Skin Correct</w:t>
      </w:r>
      <w:r w:rsidR="007F1864" w:rsidRPr="00F71827">
        <w:rPr>
          <w:sz w:val="22"/>
          <w:szCs w:val="22"/>
          <w:lang w:val="fr-FR"/>
        </w:rPr>
        <w:t xml:space="preserve"> dans le domaine du teint. Enfin, le soin réalise </w:t>
      </w:r>
      <w:r w:rsidR="00322F9F" w:rsidRPr="00F71827">
        <w:rPr>
          <w:sz w:val="22"/>
          <w:szCs w:val="22"/>
          <w:lang w:val="fr-FR"/>
        </w:rPr>
        <w:t>d’</w:t>
      </w:r>
      <w:r w:rsidR="0075250B" w:rsidRPr="00F71827">
        <w:rPr>
          <w:sz w:val="22"/>
          <w:szCs w:val="22"/>
          <w:lang w:val="fr-FR"/>
        </w:rPr>
        <w:t>excellentes</w:t>
      </w:r>
      <w:r w:rsidR="007F1864" w:rsidRPr="00F71827">
        <w:rPr>
          <w:sz w:val="22"/>
          <w:szCs w:val="22"/>
          <w:lang w:val="fr-FR"/>
        </w:rPr>
        <w:t xml:space="preserve"> performances, en particulier en Asie sur le segment premium avec sa gamme phare </w:t>
      </w:r>
      <w:r w:rsidR="007F1864" w:rsidRPr="00F71827">
        <w:rPr>
          <w:i/>
          <w:iCs/>
          <w:sz w:val="22"/>
          <w:szCs w:val="22"/>
          <w:lang w:val="fr-FR"/>
        </w:rPr>
        <w:t>Prestige</w:t>
      </w:r>
      <w:r w:rsidR="007F1864" w:rsidRPr="00F71827">
        <w:rPr>
          <w:sz w:val="22"/>
          <w:szCs w:val="22"/>
          <w:lang w:val="fr-FR"/>
        </w:rPr>
        <w:t xml:space="preserve">. </w:t>
      </w:r>
      <w:r w:rsidR="00C16CBC" w:rsidRPr="00F71827">
        <w:rPr>
          <w:iCs/>
          <w:sz w:val="22"/>
          <w:szCs w:val="22"/>
          <w:lang w:val="fr-FR"/>
        </w:rPr>
        <w:t>Guerl</w:t>
      </w:r>
      <w:r w:rsidR="00AC692D" w:rsidRPr="00F71827">
        <w:rPr>
          <w:sz w:val="22"/>
          <w:szCs w:val="22"/>
          <w:lang w:val="fr-FR"/>
        </w:rPr>
        <w:t>ain</w:t>
      </w:r>
      <w:r w:rsidR="001831F3" w:rsidRPr="00F71827">
        <w:rPr>
          <w:sz w:val="22"/>
          <w:szCs w:val="22"/>
          <w:lang w:val="fr-FR"/>
        </w:rPr>
        <w:t xml:space="preserve"> </w:t>
      </w:r>
      <w:r w:rsidR="0098491A" w:rsidRPr="00F71827">
        <w:rPr>
          <w:sz w:val="22"/>
          <w:szCs w:val="22"/>
          <w:lang w:val="fr-FR"/>
        </w:rPr>
        <w:t>poursuit sa croissance, porté</w:t>
      </w:r>
      <w:r w:rsidR="00835297" w:rsidRPr="00F71827">
        <w:rPr>
          <w:sz w:val="22"/>
          <w:szCs w:val="22"/>
          <w:lang w:val="fr-FR"/>
        </w:rPr>
        <w:t>e</w:t>
      </w:r>
      <w:r w:rsidR="0098491A" w:rsidRPr="00F71827">
        <w:rPr>
          <w:sz w:val="22"/>
          <w:szCs w:val="22"/>
          <w:lang w:val="fr-FR"/>
        </w:rPr>
        <w:t xml:space="preserve"> notamment par la vitalité de son soin </w:t>
      </w:r>
      <w:r w:rsidR="00D24C88" w:rsidRPr="00F71827">
        <w:rPr>
          <w:i/>
          <w:iCs/>
          <w:sz w:val="22"/>
          <w:szCs w:val="22"/>
          <w:lang w:val="fr-FR"/>
        </w:rPr>
        <w:t>A</w:t>
      </w:r>
      <w:r w:rsidR="006E1282" w:rsidRPr="00F71827">
        <w:rPr>
          <w:i/>
          <w:iCs/>
          <w:sz w:val="22"/>
          <w:szCs w:val="22"/>
          <w:lang w:val="fr-FR"/>
        </w:rPr>
        <w:t>beille Royale</w:t>
      </w:r>
      <w:r w:rsidR="0098491A" w:rsidRPr="00F71827">
        <w:rPr>
          <w:sz w:val="22"/>
          <w:szCs w:val="22"/>
          <w:lang w:val="fr-FR"/>
        </w:rPr>
        <w:t xml:space="preserve"> et de sa collection</w:t>
      </w:r>
      <w:r w:rsidR="00253193" w:rsidRPr="00F71827">
        <w:rPr>
          <w:sz w:val="22"/>
          <w:szCs w:val="22"/>
          <w:lang w:val="fr-FR"/>
        </w:rPr>
        <w:t xml:space="preserve"> de parfumerie</w:t>
      </w:r>
      <w:r w:rsidR="00AA6434" w:rsidRPr="00F71827">
        <w:rPr>
          <w:sz w:val="22"/>
          <w:szCs w:val="22"/>
          <w:lang w:val="fr-FR"/>
        </w:rPr>
        <w:t xml:space="preserve"> haut de gamme</w:t>
      </w:r>
      <w:r w:rsidR="0098491A" w:rsidRPr="00F71827">
        <w:rPr>
          <w:sz w:val="22"/>
          <w:szCs w:val="22"/>
          <w:lang w:val="fr-FR"/>
        </w:rPr>
        <w:t xml:space="preserve"> </w:t>
      </w:r>
      <w:r w:rsidR="0098491A" w:rsidRPr="00F71827">
        <w:rPr>
          <w:i/>
          <w:iCs/>
          <w:sz w:val="22"/>
          <w:szCs w:val="22"/>
          <w:lang w:val="fr-FR"/>
        </w:rPr>
        <w:t>l’Art et la Matière</w:t>
      </w:r>
      <w:r w:rsidR="006B1925" w:rsidRPr="00F71827">
        <w:rPr>
          <w:sz w:val="22"/>
          <w:szCs w:val="22"/>
          <w:lang w:val="fr-FR"/>
        </w:rPr>
        <w:t xml:space="preserve">, enrichie d’une nouvelle création </w:t>
      </w:r>
      <w:r w:rsidR="006B1925" w:rsidRPr="00F71827">
        <w:rPr>
          <w:i/>
          <w:iCs/>
          <w:sz w:val="22"/>
          <w:szCs w:val="22"/>
          <w:lang w:val="fr-FR"/>
        </w:rPr>
        <w:t>Jasmin Bonheur</w:t>
      </w:r>
      <w:r w:rsidR="006B1925" w:rsidRPr="00F71827">
        <w:rPr>
          <w:sz w:val="22"/>
          <w:szCs w:val="22"/>
          <w:lang w:val="fr-FR"/>
        </w:rPr>
        <w:t>.</w:t>
      </w:r>
      <w:r w:rsidR="00EF5504" w:rsidRPr="00F71827">
        <w:rPr>
          <w:sz w:val="22"/>
          <w:szCs w:val="22"/>
          <w:lang w:val="fr-FR"/>
        </w:rPr>
        <w:t xml:space="preserve"> </w:t>
      </w:r>
      <w:r w:rsidR="006B3285" w:rsidRPr="00F71827">
        <w:rPr>
          <w:sz w:val="22"/>
          <w:szCs w:val="22"/>
          <w:lang w:val="fr-FR"/>
        </w:rPr>
        <w:t xml:space="preserve">Givenchy </w:t>
      </w:r>
      <w:r w:rsidR="00835297" w:rsidRPr="00F71827">
        <w:rPr>
          <w:sz w:val="22"/>
          <w:szCs w:val="22"/>
          <w:lang w:val="fr-FR"/>
        </w:rPr>
        <w:t>bénéficie d</w:t>
      </w:r>
      <w:r w:rsidR="00EB3CBA" w:rsidRPr="00F71827">
        <w:rPr>
          <w:sz w:val="22"/>
          <w:szCs w:val="22"/>
          <w:lang w:val="fr-FR"/>
        </w:rPr>
        <w:t xml:space="preserve">e l’excellent accueil </w:t>
      </w:r>
      <w:r w:rsidR="006B3285" w:rsidRPr="00F71827">
        <w:rPr>
          <w:sz w:val="22"/>
          <w:szCs w:val="22"/>
          <w:lang w:val="fr-FR"/>
        </w:rPr>
        <w:t>d</w:t>
      </w:r>
      <w:r w:rsidR="005922EB" w:rsidRPr="00F71827">
        <w:rPr>
          <w:sz w:val="22"/>
          <w:szCs w:val="22"/>
          <w:lang w:val="fr-FR"/>
        </w:rPr>
        <w:t xml:space="preserve">e son nouveau parfum </w:t>
      </w:r>
      <w:r w:rsidR="005922EB" w:rsidRPr="00F71827">
        <w:rPr>
          <w:i/>
          <w:iCs/>
          <w:sz w:val="22"/>
          <w:szCs w:val="22"/>
          <w:lang w:val="fr-FR"/>
        </w:rPr>
        <w:t>Gentleman Society</w:t>
      </w:r>
      <w:r w:rsidR="006B3285" w:rsidRPr="00F71827">
        <w:rPr>
          <w:sz w:val="22"/>
          <w:szCs w:val="22"/>
          <w:lang w:val="fr-FR"/>
        </w:rPr>
        <w:t>.</w:t>
      </w:r>
      <w:r w:rsidR="005922EB" w:rsidRPr="00F71827">
        <w:rPr>
          <w:sz w:val="22"/>
          <w:szCs w:val="22"/>
          <w:lang w:val="fr-FR"/>
        </w:rPr>
        <w:t xml:space="preserve"> </w:t>
      </w:r>
      <w:r w:rsidR="005922EB" w:rsidRPr="000E63B7">
        <w:rPr>
          <w:sz w:val="22"/>
          <w:szCs w:val="22"/>
          <w:lang w:val="fr-FR"/>
        </w:rPr>
        <w:t xml:space="preserve">Benefit élargit avec succès sa gamme de soin </w:t>
      </w:r>
      <w:r w:rsidR="005922EB" w:rsidRPr="000E63B7">
        <w:rPr>
          <w:i/>
          <w:iCs/>
          <w:sz w:val="22"/>
          <w:szCs w:val="22"/>
          <w:lang w:val="fr-FR"/>
        </w:rPr>
        <w:t>The Porefessional</w:t>
      </w:r>
      <w:r w:rsidR="005922EB" w:rsidRPr="000E63B7">
        <w:rPr>
          <w:sz w:val="22"/>
          <w:szCs w:val="22"/>
          <w:lang w:val="fr-FR"/>
        </w:rPr>
        <w:t xml:space="preserve"> tandis</w:t>
      </w:r>
      <w:r w:rsidR="00E021CA" w:rsidRPr="000E63B7">
        <w:rPr>
          <w:sz w:val="22"/>
          <w:szCs w:val="22"/>
          <w:lang w:val="fr-FR"/>
        </w:rPr>
        <w:t xml:space="preserve"> que l</w:t>
      </w:r>
      <w:r w:rsidR="00AA3F89" w:rsidRPr="000E63B7">
        <w:rPr>
          <w:sz w:val="22"/>
          <w:szCs w:val="22"/>
          <w:lang w:val="fr-FR"/>
        </w:rPr>
        <w:t>a dernière création de Fenty Beauty, le</w:t>
      </w:r>
      <w:r w:rsidR="00E021CA" w:rsidRPr="000E63B7">
        <w:rPr>
          <w:sz w:val="22"/>
          <w:szCs w:val="22"/>
          <w:lang w:val="fr-FR"/>
        </w:rPr>
        <w:t xml:space="preserve"> mascara </w:t>
      </w:r>
      <w:r w:rsidR="00E021CA" w:rsidRPr="000E63B7">
        <w:rPr>
          <w:i/>
          <w:iCs/>
          <w:sz w:val="22"/>
          <w:szCs w:val="22"/>
          <w:lang w:val="fr-FR"/>
        </w:rPr>
        <w:t>Hella Thicc</w:t>
      </w:r>
      <w:r w:rsidR="00E87C73" w:rsidRPr="000E63B7">
        <w:rPr>
          <w:i/>
          <w:iCs/>
          <w:sz w:val="22"/>
          <w:szCs w:val="22"/>
          <w:lang w:val="fr-FR"/>
        </w:rPr>
        <w:t>,</w:t>
      </w:r>
      <w:r w:rsidR="00AA3F89" w:rsidRPr="000E63B7">
        <w:rPr>
          <w:sz w:val="22"/>
          <w:szCs w:val="22"/>
          <w:lang w:val="fr-FR"/>
        </w:rPr>
        <w:t xml:space="preserve"> se hisse déjà </w:t>
      </w:r>
      <w:r w:rsidR="009A2627" w:rsidRPr="000E63B7">
        <w:rPr>
          <w:sz w:val="22"/>
          <w:szCs w:val="22"/>
          <w:lang w:val="fr-FR"/>
        </w:rPr>
        <w:t xml:space="preserve">dans </w:t>
      </w:r>
      <w:r w:rsidR="00AA3F89" w:rsidRPr="000E63B7">
        <w:rPr>
          <w:sz w:val="22"/>
          <w:szCs w:val="22"/>
          <w:lang w:val="fr-FR"/>
        </w:rPr>
        <w:t xml:space="preserve">les </w:t>
      </w:r>
      <w:r w:rsidR="00355DE3" w:rsidRPr="000E63B7">
        <w:rPr>
          <w:sz w:val="22"/>
          <w:szCs w:val="22"/>
          <w:lang w:val="fr-FR"/>
        </w:rPr>
        <w:t>meilleures ventes</w:t>
      </w:r>
      <w:r w:rsidR="00AA3F89" w:rsidRPr="000E63B7">
        <w:rPr>
          <w:sz w:val="22"/>
          <w:szCs w:val="22"/>
          <w:lang w:val="fr-FR"/>
        </w:rPr>
        <w:t xml:space="preserve"> de la Maison</w:t>
      </w:r>
      <w:r w:rsidR="005922EB" w:rsidRPr="000E63B7">
        <w:rPr>
          <w:sz w:val="22"/>
          <w:szCs w:val="22"/>
          <w:lang w:val="fr-FR"/>
        </w:rPr>
        <w:t xml:space="preserve">. </w:t>
      </w:r>
    </w:p>
    <w:p w14:paraId="2F0BB1FC" w14:textId="77777777" w:rsidR="006B1925" w:rsidRPr="00F71827" w:rsidRDefault="00F71827" w:rsidP="00660724">
      <w:pPr>
        <w:pStyle w:val="Corpsdetexte"/>
        <w:rPr>
          <w:sz w:val="22"/>
          <w:szCs w:val="22"/>
        </w:rPr>
      </w:pPr>
      <w:r>
        <w:rPr>
          <w:sz w:val="22"/>
          <w:szCs w:val="22"/>
        </w:rPr>
        <w:br w:type="page"/>
      </w:r>
    </w:p>
    <w:p w14:paraId="6EB7EFB4" w14:textId="77777777" w:rsidR="00C07C51" w:rsidRPr="00F71827" w:rsidRDefault="00E91DC4" w:rsidP="00660724">
      <w:pPr>
        <w:pStyle w:val="Corpsdetexte"/>
        <w:rPr>
          <w:b/>
          <w:snapToGrid w:val="0"/>
          <w:sz w:val="22"/>
          <w:szCs w:val="22"/>
        </w:rPr>
      </w:pPr>
      <w:r w:rsidRPr="00F71827">
        <w:rPr>
          <w:b/>
          <w:snapToGrid w:val="0"/>
          <w:sz w:val="22"/>
          <w:szCs w:val="22"/>
        </w:rPr>
        <w:lastRenderedPageBreak/>
        <w:t>M</w:t>
      </w:r>
      <w:r w:rsidR="005933B4" w:rsidRPr="00F71827">
        <w:rPr>
          <w:b/>
          <w:snapToGrid w:val="0"/>
          <w:sz w:val="22"/>
          <w:szCs w:val="22"/>
        </w:rPr>
        <w:t>ontres et Joaillerie :</w:t>
      </w:r>
      <w:r w:rsidR="00EF3A62" w:rsidRPr="00F71827">
        <w:rPr>
          <w:b/>
          <w:snapToGrid w:val="0"/>
          <w:sz w:val="22"/>
          <w:szCs w:val="22"/>
        </w:rPr>
        <w:t xml:space="preserve"> </w:t>
      </w:r>
      <w:r w:rsidRPr="00F71827">
        <w:rPr>
          <w:b/>
          <w:snapToGrid w:val="0"/>
          <w:sz w:val="22"/>
          <w:szCs w:val="22"/>
        </w:rPr>
        <w:t>forte progression de la</w:t>
      </w:r>
      <w:r w:rsidR="00B72C5D" w:rsidRPr="00F71827">
        <w:rPr>
          <w:b/>
          <w:snapToGrid w:val="0"/>
          <w:sz w:val="22"/>
          <w:szCs w:val="22"/>
        </w:rPr>
        <w:t xml:space="preserve"> joaillerie</w:t>
      </w:r>
      <w:r w:rsidRPr="00F71827">
        <w:rPr>
          <w:b/>
          <w:snapToGrid w:val="0"/>
          <w:sz w:val="22"/>
          <w:szCs w:val="22"/>
        </w:rPr>
        <w:t>, innovation soutenue en</w:t>
      </w:r>
      <w:r w:rsidR="00B72C5D" w:rsidRPr="00F71827">
        <w:rPr>
          <w:b/>
          <w:snapToGrid w:val="0"/>
          <w:sz w:val="22"/>
          <w:szCs w:val="22"/>
        </w:rPr>
        <w:t xml:space="preserve"> horlogerie</w:t>
      </w:r>
      <w:r w:rsidR="00321F2D" w:rsidRPr="00F71827">
        <w:rPr>
          <w:b/>
          <w:snapToGrid w:val="0"/>
          <w:sz w:val="22"/>
          <w:szCs w:val="22"/>
        </w:rPr>
        <w:t xml:space="preserve"> </w:t>
      </w:r>
    </w:p>
    <w:p w14:paraId="2173C075" w14:textId="77777777" w:rsidR="000E7F50" w:rsidRPr="00F71827" w:rsidRDefault="000E7F50" w:rsidP="00660724">
      <w:pPr>
        <w:pStyle w:val="Corpsdetexte"/>
        <w:rPr>
          <w:snapToGrid w:val="0"/>
          <w:color w:val="000000"/>
          <w:sz w:val="22"/>
          <w:szCs w:val="22"/>
        </w:rPr>
      </w:pPr>
    </w:p>
    <w:p w14:paraId="70AB09EA" w14:textId="77777777" w:rsidR="00B72C5D" w:rsidRPr="00F71827" w:rsidRDefault="00CE6F19" w:rsidP="00E31DD8">
      <w:pPr>
        <w:jc w:val="both"/>
        <w:rPr>
          <w:sz w:val="22"/>
          <w:szCs w:val="22"/>
          <w:lang w:val="fr-FR"/>
        </w:rPr>
      </w:pPr>
      <w:r w:rsidRPr="00F71827">
        <w:rPr>
          <w:snapToGrid w:val="0"/>
          <w:color w:val="000000"/>
          <w:sz w:val="22"/>
          <w:szCs w:val="22"/>
          <w:lang w:val="fr-FR"/>
        </w:rPr>
        <w:t>L</w:t>
      </w:r>
      <w:r w:rsidR="00F83D75" w:rsidRPr="00F71827">
        <w:rPr>
          <w:snapToGrid w:val="0"/>
          <w:color w:val="000000"/>
          <w:sz w:val="22"/>
          <w:szCs w:val="22"/>
          <w:lang w:val="fr-FR"/>
        </w:rPr>
        <w:t xml:space="preserve">'activité </w:t>
      </w:r>
      <w:r w:rsidR="00F83D75" w:rsidRPr="00F71827">
        <w:rPr>
          <w:b/>
          <w:snapToGrid w:val="0"/>
          <w:color w:val="000000"/>
          <w:sz w:val="22"/>
          <w:szCs w:val="22"/>
          <w:lang w:val="fr-FR"/>
        </w:rPr>
        <w:t>Montres et Joaillerie</w:t>
      </w:r>
      <w:r w:rsidR="00F83D75" w:rsidRPr="00F71827">
        <w:rPr>
          <w:snapToGrid w:val="0"/>
          <w:color w:val="000000"/>
          <w:sz w:val="22"/>
          <w:szCs w:val="22"/>
          <w:lang w:val="fr-FR"/>
        </w:rPr>
        <w:t xml:space="preserve"> </w:t>
      </w:r>
      <w:r w:rsidR="002E758A" w:rsidRPr="00F71827">
        <w:rPr>
          <w:snapToGrid w:val="0"/>
          <w:color w:val="000000"/>
          <w:sz w:val="22"/>
          <w:szCs w:val="22"/>
          <w:lang w:val="fr-FR"/>
        </w:rPr>
        <w:t>réalise</w:t>
      </w:r>
      <w:r w:rsidR="00762F11" w:rsidRPr="00F71827">
        <w:rPr>
          <w:snapToGrid w:val="0"/>
          <w:color w:val="000000"/>
          <w:sz w:val="22"/>
          <w:szCs w:val="22"/>
          <w:lang w:val="fr-FR"/>
        </w:rPr>
        <w:t xml:space="preserve"> au premier semestre 202</w:t>
      </w:r>
      <w:r w:rsidR="00A40077" w:rsidRPr="00F71827">
        <w:rPr>
          <w:snapToGrid w:val="0"/>
          <w:color w:val="000000"/>
          <w:sz w:val="22"/>
          <w:szCs w:val="22"/>
          <w:lang w:val="fr-FR"/>
        </w:rPr>
        <w:t>3</w:t>
      </w:r>
      <w:r w:rsidR="00762F11" w:rsidRPr="00F71827">
        <w:rPr>
          <w:snapToGrid w:val="0"/>
          <w:color w:val="000000"/>
          <w:sz w:val="22"/>
          <w:szCs w:val="22"/>
          <w:lang w:val="fr-FR"/>
        </w:rPr>
        <w:t xml:space="preserve"> une croissance organique de </w:t>
      </w:r>
      <w:r w:rsidR="00154E6F" w:rsidRPr="00F71827">
        <w:rPr>
          <w:snapToGrid w:val="0"/>
          <w:color w:val="000000"/>
          <w:sz w:val="22"/>
          <w:szCs w:val="22"/>
          <w:lang w:val="fr-FR"/>
        </w:rPr>
        <w:t>1</w:t>
      </w:r>
      <w:r w:rsidR="00515C80" w:rsidRPr="00F71827">
        <w:rPr>
          <w:snapToGrid w:val="0"/>
          <w:color w:val="000000"/>
          <w:sz w:val="22"/>
          <w:szCs w:val="22"/>
          <w:lang w:val="fr-FR"/>
        </w:rPr>
        <w:t>3</w:t>
      </w:r>
      <w:r w:rsidR="00762F11" w:rsidRPr="00F71827">
        <w:rPr>
          <w:snapToGrid w:val="0"/>
          <w:color w:val="000000"/>
          <w:sz w:val="22"/>
          <w:szCs w:val="22"/>
          <w:lang w:val="fr-FR"/>
        </w:rPr>
        <w:t xml:space="preserve"> % de ses ventes. L</w:t>
      </w:r>
      <w:r w:rsidR="00762F11" w:rsidRPr="00F71827">
        <w:rPr>
          <w:sz w:val="22"/>
          <w:szCs w:val="22"/>
          <w:lang w:val="fr-FR"/>
        </w:rPr>
        <w:t xml:space="preserve">e résultat opérationnel courant est en hausse de </w:t>
      </w:r>
      <w:r w:rsidR="00C320C8" w:rsidRPr="00F71827">
        <w:rPr>
          <w:sz w:val="22"/>
          <w:szCs w:val="22"/>
          <w:lang w:val="fr-FR"/>
        </w:rPr>
        <w:t>10</w:t>
      </w:r>
      <w:r w:rsidR="00B72C5D" w:rsidRPr="00F71827">
        <w:rPr>
          <w:sz w:val="22"/>
          <w:szCs w:val="22"/>
          <w:lang w:val="fr-FR"/>
        </w:rPr>
        <w:t xml:space="preserve"> </w:t>
      </w:r>
      <w:r w:rsidR="00762F11" w:rsidRPr="00F71827">
        <w:rPr>
          <w:sz w:val="22"/>
          <w:szCs w:val="22"/>
          <w:lang w:val="fr-FR"/>
        </w:rPr>
        <w:t xml:space="preserve">%. </w:t>
      </w:r>
      <w:r w:rsidR="00B72C5D" w:rsidRPr="00F71827">
        <w:rPr>
          <w:sz w:val="22"/>
          <w:szCs w:val="22"/>
          <w:lang w:val="fr-FR"/>
        </w:rPr>
        <w:t xml:space="preserve">En joaillerie, </w:t>
      </w:r>
      <w:r w:rsidR="007322B0" w:rsidRPr="00F71827">
        <w:rPr>
          <w:sz w:val="22"/>
          <w:szCs w:val="22"/>
          <w:lang w:val="fr-FR"/>
        </w:rPr>
        <w:t xml:space="preserve">Tiffany </w:t>
      </w:r>
      <w:r w:rsidR="007B7CF2" w:rsidRPr="00F71827">
        <w:rPr>
          <w:sz w:val="22"/>
          <w:szCs w:val="22"/>
          <w:lang w:val="fr-FR"/>
        </w:rPr>
        <w:t>conna</w:t>
      </w:r>
      <w:r w:rsidR="00C02058" w:rsidRPr="00F71827">
        <w:rPr>
          <w:sz w:val="22"/>
          <w:szCs w:val="22"/>
          <w:lang w:val="fr-FR"/>
        </w:rPr>
        <w:t>î</w:t>
      </w:r>
      <w:r w:rsidR="007B7CF2" w:rsidRPr="00F71827">
        <w:rPr>
          <w:sz w:val="22"/>
          <w:szCs w:val="22"/>
          <w:lang w:val="fr-FR"/>
        </w:rPr>
        <w:t xml:space="preserve">t une excellente dynamique </w:t>
      </w:r>
      <w:r w:rsidR="007322B0" w:rsidRPr="00F71827">
        <w:rPr>
          <w:sz w:val="22"/>
          <w:szCs w:val="22"/>
          <w:lang w:val="fr-FR"/>
        </w:rPr>
        <w:t>avec l</w:t>
      </w:r>
      <w:r w:rsidR="00E72568" w:rsidRPr="00F71827">
        <w:rPr>
          <w:sz w:val="22"/>
          <w:szCs w:val="22"/>
          <w:lang w:val="fr-FR"/>
        </w:rPr>
        <w:t xml:space="preserve">e succès </w:t>
      </w:r>
      <w:r w:rsidR="00A50D6E" w:rsidRPr="00F71827">
        <w:rPr>
          <w:sz w:val="22"/>
          <w:szCs w:val="22"/>
          <w:lang w:val="fr-FR"/>
        </w:rPr>
        <w:t xml:space="preserve">exceptionnel </w:t>
      </w:r>
      <w:r w:rsidR="00E72568" w:rsidRPr="00F71827">
        <w:rPr>
          <w:sz w:val="22"/>
          <w:szCs w:val="22"/>
          <w:lang w:val="fr-FR"/>
        </w:rPr>
        <w:t>de la</w:t>
      </w:r>
      <w:r w:rsidR="007322B0" w:rsidRPr="00F71827">
        <w:rPr>
          <w:sz w:val="22"/>
          <w:szCs w:val="22"/>
          <w:lang w:val="fr-FR"/>
        </w:rPr>
        <w:t xml:space="preserve"> réouverture </w:t>
      </w:r>
      <w:r w:rsidR="00A50D6E" w:rsidRPr="00F71827">
        <w:rPr>
          <w:sz w:val="22"/>
          <w:szCs w:val="22"/>
          <w:lang w:val="fr-FR"/>
        </w:rPr>
        <w:t>du</w:t>
      </w:r>
      <w:r w:rsidR="00623408" w:rsidRPr="00F71827">
        <w:rPr>
          <w:sz w:val="22"/>
          <w:szCs w:val="22"/>
          <w:lang w:val="fr-FR"/>
        </w:rPr>
        <w:t xml:space="preserve"> </w:t>
      </w:r>
      <w:r w:rsidR="00A50D6E" w:rsidRPr="00F71827">
        <w:rPr>
          <w:sz w:val="22"/>
          <w:szCs w:val="22"/>
          <w:lang w:val="fr-FR"/>
        </w:rPr>
        <w:t>« Landmark » à</w:t>
      </w:r>
      <w:r w:rsidR="007322B0" w:rsidRPr="00F71827">
        <w:rPr>
          <w:sz w:val="22"/>
          <w:szCs w:val="22"/>
          <w:lang w:val="fr-FR"/>
        </w:rPr>
        <w:t xml:space="preserve"> New York</w:t>
      </w:r>
      <w:r w:rsidR="00A50D6E" w:rsidRPr="00F71827">
        <w:rPr>
          <w:sz w:val="22"/>
          <w:szCs w:val="22"/>
          <w:lang w:val="fr-FR"/>
        </w:rPr>
        <w:t> ;</w:t>
      </w:r>
      <w:r w:rsidR="007322B0" w:rsidRPr="00F71827">
        <w:rPr>
          <w:sz w:val="22"/>
          <w:szCs w:val="22"/>
          <w:lang w:val="fr-FR"/>
        </w:rPr>
        <w:t xml:space="preserve"> The Landmark </w:t>
      </w:r>
      <w:r w:rsidR="00A50D6E" w:rsidRPr="00F71827">
        <w:rPr>
          <w:sz w:val="22"/>
          <w:szCs w:val="22"/>
          <w:lang w:val="fr-FR"/>
        </w:rPr>
        <w:t>redevient un lieu emblématique de la vie new</w:t>
      </w:r>
      <w:r w:rsidR="00623408" w:rsidRPr="00F71827">
        <w:rPr>
          <w:sz w:val="22"/>
          <w:szCs w:val="22"/>
          <w:lang w:val="fr-FR"/>
        </w:rPr>
        <w:t>-</w:t>
      </w:r>
      <w:r w:rsidR="00A50D6E" w:rsidRPr="00F71827">
        <w:rPr>
          <w:sz w:val="22"/>
          <w:szCs w:val="22"/>
          <w:lang w:val="fr-FR"/>
        </w:rPr>
        <w:t>yorkaise</w:t>
      </w:r>
      <w:r w:rsidR="007322B0" w:rsidRPr="00F71827">
        <w:rPr>
          <w:sz w:val="22"/>
          <w:szCs w:val="22"/>
          <w:lang w:val="fr-FR"/>
        </w:rPr>
        <w:t xml:space="preserve">. La nouvelle collection </w:t>
      </w:r>
      <w:r w:rsidR="007322B0" w:rsidRPr="00F71827">
        <w:rPr>
          <w:i/>
          <w:iCs/>
          <w:sz w:val="22"/>
          <w:szCs w:val="22"/>
          <w:lang w:val="fr-FR"/>
        </w:rPr>
        <w:t>Lock</w:t>
      </w:r>
      <w:r w:rsidR="00E72568" w:rsidRPr="00F71827">
        <w:rPr>
          <w:sz w:val="22"/>
          <w:szCs w:val="22"/>
          <w:lang w:val="fr-FR"/>
        </w:rPr>
        <w:t xml:space="preserve"> </w:t>
      </w:r>
      <w:r w:rsidR="007322B0" w:rsidRPr="00F71827">
        <w:rPr>
          <w:sz w:val="22"/>
          <w:szCs w:val="22"/>
          <w:lang w:val="fr-FR"/>
        </w:rPr>
        <w:t>poursuit son déploiement mondial</w:t>
      </w:r>
      <w:r w:rsidR="00E72568" w:rsidRPr="00F71827">
        <w:rPr>
          <w:sz w:val="22"/>
          <w:szCs w:val="22"/>
          <w:lang w:val="fr-FR"/>
        </w:rPr>
        <w:t xml:space="preserve"> tandis qu’est dévoilée la première </w:t>
      </w:r>
      <w:r w:rsidR="00253193" w:rsidRPr="00F71827">
        <w:rPr>
          <w:sz w:val="22"/>
          <w:szCs w:val="22"/>
          <w:lang w:val="fr-FR"/>
        </w:rPr>
        <w:t xml:space="preserve">ligne </w:t>
      </w:r>
      <w:r w:rsidR="00E72568" w:rsidRPr="00F71827">
        <w:rPr>
          <w:sz w:val="22"/>
          <w:szCs w:val="22"/>
          <w:lang w:val="fr-FR"/>
        </w:rPr>
        <w:t xml:space="preserve">de Haute Joaillerie de </w:t>
      </w:r>
      <w:r w:rsidR="007B7CF2" w:rsidRPr="00F71827">
        <w:rPr>
          <w:sz w:val="22"/>
          <w:szCs w:val="22"/>
          <w:lang w:val="fr-FR"/>
        </w:rPr>
        <w:t xml:space="preserve">la Directrice Artistique </w:t>
      </w:r>
      <w:r w:rsidR="00E72568" w:rsidRPr="00F71827">
        <w:rPr>
          <w:sz w:val="22"/>
          <w:szCs w:val="22"/>
          <w:lang w:val="fr-FR"/>
        </w:rPr>
        <w:t xml:space="preserve">Nathalie </w:t>
      </w:r>
      <w:proofErr w:type="spellStart"/>
      <w:r w:rsidR="00E72568" w:rsidRPr="00F71827">
        <w:rPr>
          <w:sz w:val="22"/>
          <w:szCs w:val="22"/>
          <w:lang w:val="fr-FR"/>
        </w:rPr>
        <w:t>Verdeille</w:t>
      </w:r>
      <w:proofErr w:type="spellEnd"/>
      <w:r w:rsidR="00E72568" w:rsidRPr="00F71827">
        <w:rPr>
          <w:sz w:val="22"/>
          <w:szCs w:val="22"/>
          <w:lang w:val="fr-FR"/>
        </w:rPr>
        <w:t>.</w:t>
      </w:r>
      <w:r w:rsidR="007322B0" w:rsidRPr="00F71827">
        <w:rPr>
          <w:sz w:val="22"/>
          <w:szCs w:val="22"/>
          <w:lang w:val="fr-FR"/>
        </w:rPr>
        <w:t xml:space="preserve"> </w:t>
      </w:r>
      <w:r w:rsidR="00E72568" w:rsidRPr="00F71827">
        <w:rPr>
          <w:sz w:val="22"/>
          <w:szCs w:val="22"/>
          <w:lang w:val="fr-FR"/>
        </w:rPr>
        <w:t xml:space="preserve">Bulgari, en forte </w:t>
      </w:r>
      <w:r w:rsidR="00C20884" w:rsidRPr="00F71827">
        <w:rPr>
          <w:sz w:val="22"/>
          <w:szCs w:val="22"/>
          <w:lang w:val="fr-FR"/>
        </w:rPr>
        <w:t>croissance</w:t>
      </w:r>
      <w:r w:rsidR="00E72568" w:rsidRPr="00F71827">
        <w:rPr>
          <w:sz w:val="22"/>
          <w:szCs w:val="22"/>
          <w:lang w:val="fr-FR"/>
        </w:rPr>
        <w:t>, fête les 75 ans de s</w:t>
      </w:r>
      <w:r w:rsidR="00581CD8" w:rsidRPr="00F71827">
        <w:rPr>
          <w:sz w:val="22"/>
          <w:szCs w:val="22"/>
          <w:lang w:val="fr-FR"/>
        </w:rPr>
        <w:t>a ligne</w:t>
      </w:r>
      <w:r w:rsidR="00E72568" w:rsidRPr="00F71827">
        <w:rPr>
          <w:sz w:val="22"/>
          <w:szCs w:val="22"/>
          <w:lang w:val="fr-FR"/>
        </w:rPr>
        <w:t xml:space="preserve"> ic</w:t>
      </w:r>
      <w:r w:rsidR="00581CD8" w:rsidRPr="00F71827">
        <w:rPr>
          <w:sz w:val="22"/>
          <w:szCs w:val="22"/>
          <w:lang w:val="fr-FR"/>
        </w:rPr>
        <w:t>onique</w:t>
      </w:r>
      <w:r w:rsidR="00E72568" w:rsidRPr="00F71827">
        <w:rPr>
          <w:sz w:val="22"/>
          <w:szCs w:val="22"/>
          <w:lang w:val="fr-FR"/>
        </w:rPr>
        <w:t xml:space="preserve"> </w:t>
      </w:r>
      <w:proofErr w:type="spellStart"/>
      <w:r w:rsidR="00E72568" w:rsidRPr="00F71827">
        <w:rPr>
          <w:i/>
          <w:iCs/>
          <w:sz w:val="22"/>
          <w:szCs w:val="22"/>
          <w:lang w:val="fr-FR"/>
        </w:rPr>
        <w:t>Serpenti</w:t>
      </w:r>
      <w:proofErr w:type="spellEnd"/>
      <w:r w:rsidR="00E72568" w:rsidRPr="00F71827">
        <w:rPr>
          <w:sz w:val="22"/>
          <w:szCs w:val="22"/>
          <w:lang w:val="fr-FR"/>
        </w:rPr>
        <w:t xml:space="preserve">. La haute joaillerie, avec notamment le lancement de </w:t>
      </w:r>
      <w:r w:rsidR="009D5CF9" w:rsidRPr="00F71827">
        <w:rPr>
          <w:sz w:val="22"/>
          <w:szCs w:val="22"/>
          <w:lang w:val="fr-FR"/>
        </w:rPr>
        <w:t xml:space="preserve">la collection </w:t>
      </w:r>
      <w:proofErr w:type="spellStart"/>
      <w:r w:rsidR="00E72568" w:rsidRPr="00F71827">
        <w:rPr>
          <w:i/>
          <w:iCs/>
          <w:sz w:val="22"/>
          <w:szCs w:val="22"/>
          <w:lang w:val="fr-FR"/>
        </w:rPr>
        <w:t>Mediterranea</w:t>
      </w:r>
      <w:proofErr w:type="spellEnd"/>
      <w:r w:rsidR="00E72568" w:rsidRPr="00F71827">
        <w:rPr>
          <w:sz w:val="22"/>
          <w:szCs w:val="22"/>
          <w:lang w:val="fr-FR"/>
        </w:rPr>
        <w:t>, réalise une</w:t>
      </w:r>
      <w:r w:rsidR="005814C3" w:rsidRPr="00F71827">
        <w:rPr>
          <w:sz w:val="22"/>
          <w:szCs w:val="22"/>
          <w:lang w:val="fr-FR"/>
        </w:rPr>
        <w:t xml:space="preserve"> </w:t>
      </w:r>
      <w:r w:rsidR="00E72568" w:rsidRPr="00F71827">
        <w:rPr>
          <w:sz w:val="22"/>
          <w:szCs w:val="22"/>
          <w:lang w:val="fr-FR"/>
        </w:rPr>
        <w:t>performance</w:t>
      </w:r>
      <w:r w:rsidR="00C02058" w:rsidRPr="00F71827">
        <w:rPr>
          <w:sz w:val="22"/>
          <w:szCs w:val="22"/>
          <w:lang w:val="fr-FR"/>
        </w:rPr>
        <w:t xml:space="preserve"> remarquable</w:t>
      </w:r>
      <w:r w:rsidR="00E72568" w:rsidRPr="00F71827">
        <w:rPr>
          <w:sz w:val="22"/>
          <w:szCs w:val="22"/>
          <w:lang w:val="fr-FR"/>
        </w:rPr>
        <w:t xml:space="preserve">. </w:t>
      </w:r>
      <w:r w:rsidR="00B72C5D" w:rsidRPr="00F71827">
        <w:rPr>
          <w:sz w:val="22"/>
          <w:szCs w:val="22"/>
          <w:lang w:val="fr-FR"/>
        </w:rPr>
        <w:t xml:space="preserve">Chaumet et Fred </w:t>
      </w:r>
      <w:r w:rsidR="00581CD8" w:rsidRPr="00F71827">
        <w:rPr>
          <w:sz w:val="22"/>
          <w:szCs w:val="22"/>
          <w:lang w:val="fr-FR"/>
        </w:rPr>
        <w:t xml:space="preserve">connaissent </w:t>
      </w:r>
      <w:r w:rsidR="00B72C5D" w:rsidRPr="00F71827">
        <w:rPr>
          <w:sz w:val="22"/>
          <w:szCs w:val="22"/>
          <w:lang w:val="fr-FR"/>
        </w:rPr>
        <w:t xml:space="preserve">une </w:t>
      </w:r>
      <w:r w:rsidR="00581CD8" w:rsidRPr="00F71827">
        <w:rPr>
          <w:sz w:val="22"/>
          <w:szCs w:val="22"/>
          <w:lang w:val="fr-FR"/>
        </w:rPr>
        <w:t xml:space="preserve">forte progression </w:t>
      </w:r>
      <w:r w:rsidR="00B72C5D" w:rsidRPr="00F71827">
        <w:rPr>
          <w:sz w:val="22"/>
          <w:szCs w:val="22"/>
          <w:lang w:val="fr-FR"/>
        </w:rPr>
        <w:t>sur le</w:t>
      </w:r>
      <w:r w:rsidR="00D51581" w:rsidRPr="00F71827">
        <w:rPr>
          <w:sz w:val="22"/>
          <w:szCs w:val="22"/>
          <w:lang w:val="fr-FR"/>
        </w:rPr>
        <w:t xml:space="preserve"> se</w:t>
      </w:r>
      <w:r w:rsidR="00B72C5D" w:rsidRPr="00F71827">
        <w:rPr>
          <w:sz w:val="22"/>
          <w:szCs w:val="22"/>
          <w:lang w:val="fr-FR"/>
        </w:rPr>
        <w:t xml:space="preserve">mestre. </w:t>
      </w:r>
      <w:r w:rsidR="00DD33E7" w:rsidRPr="00F71827">
        <w:rPr>
          <w:sz w:val="22"/>
          <w:szCs w:val="22"/>
          <w:lang w:val="fr-FR"/>
        </w:rPr>
        <w:t xml:space="preserve">TAG Heuer célèbre les 60 ans de sa collection </w:t>
      </w:r>
      <w:r w:rsidR="00DD33E7" w:rsidRPr="00F71827">
        <w:rPr>
          <w:i/>
          <w:iCs/>
          <w:sz w:val="22"/>
          <w:szCs w:val="22"/>
          <w:lang w:val="fr-FR"/>
        </w:rPr>
        <w:t>Carrera</w:t>
      </w:r>
      <w:r w:rsidR="00DD33E7" w:rsidRPr="00F71827">
        <w:rPr>
          <w:sz w:val="22"/>
          <w:szCs w:val="22"/>
          <w:lang w:val="fr-FR"/>
        </w:rPr>
        <w:t xml:space="preserve">. </w:t>
      </w:r>
      <w:r w:rsidR="00D51581" w:rsidRPr="00F71827">
        <w:rPr>
          <w:sz w:val="22"/>
          <w:szCs w:val="22"/>
          <w:lang w:val="fr-FR"/>
        </w:rPr>
        <w:t xml:space="preserve">De nombreuses nouveautés horlogères de TAG Heuer, Hublot et Zenith ont été </w:t>
      </w:r>
      <w:r w:rsidR="009D5CF9" w:rsidRPr="00F71827">
        <w:rPr>
          <w:sz w:val="22"/>
          <w:szCs w:val="22"/>
          <w:lang w:val="fr-FR"/>
        </w:rPr>
        <w:t xml:space="preserve">présentées lors </w:t>
      </w:r>
      <w:r w:rsidR="004F4A77" w:rsidRPr="00F71827">
        <w:rPr>
          <w:sz w:val="22"/>
          <w:szCs w:val="22"/>
          <w:lang w:val="fr-FR"/>
        </w:rPr>
        <w:t xml:space="preserve">de la LVMH Watch Week et du </w:t>
      </w:r>
      <w:r w:rsidR="00D51581" w:rsidRPr="00F71827">
        <w:rPr>
          <w:sz w:val="22"/>
          <w:szCs w:val="22"/>
          <w:lang w:val="fr-FR"/>
        </w:rPr>
        <w:t xml:space="preserve">salon Watches &amp; </w:t>
      </w:r>
      <w:proofErr w:type="spellStart"/>
      <w:r w:rsidR="00D51581" w:rsidRPr="00F71827">
        <w:rPr>
          <w:sz w:val="22"/>
          <w:szCs w:val="22"/>
          <w:lang w:val="fr-FR"/>
        </w:rPr>
        <w:t>Wonders</w:t>
      </w:r>
      <w:proofErr w:type="spellEnd"/>
      <w:r w:rsidR="00D51581" w:rsidRPr="00F71827">
        <w:rPr>
          <w:sz w:val="22"/>
          <w:szCs w:val="22"/>
          <w:lang w:val="fr-FR"/>
        </w:rPr>
        <w:t>.</w:t>
      </w:r>
    </w:p>
    <w:p w14:paraId="6CA845CC" w14:textId="77777777" w:rsidR="00B50F43" w:rsidRPr="00F71827" w:rsidRDefault="00B50F43" w:rsidP="00C140BD">
      <w:pPr>
        <w:pStyle w:val="Corpsdetexte"/>
        <w:rPr>
          <w:sz w:val="22"/>
          <w:szCs w:val="22"/>
        </w:rPr>
      </w:pPr>
    </w:p>
    <w:p w14:paraId="0E8AA39D" w14:textId="77777777" w:rsidR="00B6788D" w:rsidRPr="00F71827" w:rsidRDefault="00C140BD" w:rsidP="00C140BD">
      <w:pPr>
        <w:pStyle w:val="Corpsdetexte"/>
        <w:rPr>
          <w:b/>
          <w:snapToGrid w:val="0"/>
          <w:sz w:val="22"/>
          <w:szCs w:val="22"/>
        </w:rPr>
      </w:pPr>
      <w:bookmarkStart w:id="7" w:name="_Hlk45706909"/>
      <w:r w:rsidRPr="00F71827">
        <w:rPr>
          <w:b/>
          <w:snapToGrid w:val="0"/>
          <w:sz w:val="22"/>
          <w:szCs w:val="22"/>
        </w:rPr>
        <w:t>Distribution sélective :</w:t>
      </w:r>
      <w:r w:rsidR="005A02DB" w:rsidRPr="00F71827">
        <w:rPr>
          <w:b/>
          <w:snapToGrid w:val="0"/>
          <w:sz w:val="22"/>
          <w:szCs w:val="22"/>
        </w:rPr>
        <w:t xml:space="preserve"> </w:t>
      </w:r>
      <w:r w:rsidR="009453A4" w:rsidRPr="00F71827">
        <w:rPr>
          <w:b/>
          <w:snapToGrid w:val="0"/>
          <w:sz w:val="22"/>
          <w:szCs w:val="22"/>
        </w:rPr>
        <w:t xml:space="preserve">excellente </w:t>
      </w:r>
      <w:r w:rsidR="008C20FE" w:rsidRPr="00F71827">
        <w:rPr>
          <w:b/>
          <w:snapToGrid w:val="0"/>
          <w:sz w:val="22"/>
          <w:szCs w:val="22"/>
        </w:rPr>
        <w:t>performance</w:t>
      </w:r>
      <w:r w:rsidR="003A314F" w:rsidRPr="00F71827">
        <w:rPr>
          <w:b/>
          <w:snapToGrid w:val="0"/>
          <w:sz w:val="22"/>
          <w:szCs w:val="22"/>
        </w:rPr>
        <w:t xml:space="preserve"> de </w:t>
      </w:r>
      <w:r w:rsidR="00355077" w:rsidRPr="00F71827">
        <w:rPr>
          <w:b/>
          <w:snapToGrid w:val="0"/>
          <w:sz w:val="22"/>
          <w:szCs w:val="22"/>
        </w:rPr>
        <w:t>Sephora</w:t>
      </w:r>
      <w:r w:rsidR="008C20FE" w:rsidRPr="00F71827">
        <w:rPr>
          <w:b/>
          <w:snapToGrid w:val="0"/>
          <w:sz w:val="22"/>
          <w:szCs w:val="22"/>
        </w:rPr>
        <w:t> ;</w:t>
      </w:r>
      <w:r w:rsidR="000A6090" w:rsidRPr="00F71827">
        <w:rPr>
          <w:b/>
          <w:snapToGrid w:val="0"/>
          <w:sz w:val="22"/>
          <w:szCs w:val="22"/>
        </w:rPr>
        <w:t xml:space="preserve"> </w:t>
      </w:r>
      <w:r w:rsidR="00DC3191" w:rsidRPr="00F71827">
        <w:rPr>
          <w:b/>
          <w:snapToGrid w:val="0"/>
          <w:sz w:val="22"/>
          <w:szCs w:val="22"/>
        </w:rPr>
        <w:t xml:space="preserve">progression de </w:t>
      </w:r>
      <w:r w:rsidR="00834F62" w:rsidRPr="00F71827">
        <w:rPr>
          <w:b/>
          <w:snapToGrid w:val="0"/>
          <w:sz w:val="22"/>
          <w:szCs w:val="22"/>
        </w:rPr>
        <w:t>DFS</w:t>
      </w:r>
      <w:r w:rsidR="009453A4" w:rsidRPr="00F71827">
        <w:rPr>
          <w:b/>
          <w:snapToGrid w:val="0"/>
          <w:sz w:val="22"/>
          <w:szCs w:val="22"/>
        </w:rPr>
        <w:t xml:space="preserve"> </w:t>
      </w:r>
      <w:r w:rsidR="00DC3191" w:rsidRPr="00F71827">
        <w:rPr>
          <w:b/>
          <w:snapToGrid w:val="0"/>
          <w:sz w:val="22"/>
          <w:szCs w:val="22"/>
        </w:rPr>
        <w:t>grâce à la reprise des voyages internationaux</w:t>
      </w:r>
    </w:p>
    <w:p w14:paraId="77B3854A" w14:textId="77777777" w:rsidR="000E7F50" w:rsidRPr="00F71827" w:rsidRDefault="000E7F50" w:rsidP="00C140BD">
      <w:pPr>
        <w:pStyle w:val="Corpsdetexte"/>
        <w:rPr>
          <w:b/>
          <w:snapToGrid w:val="0"/>
          <w:sz w:val="22"/>
          <w:szCs w:val="22"/>
        </w:rPr>
      </w:pPr>
    </w:p>
    <w:p w14:paraId="3D0D5E1F" w14:textId="77777777" w:rsidR="00A33617" w:rsidRPr="00F71827" w:rsidRDefault="00CB6D92" w:rsidP="00A33617">
      <w:pPr>
        <w:pStyle w:val="Corpsdetexte"/>
        <w:rPr>
          <w:sz w:val="22"/>
          <w:szCs w:val="22"/>
        </w:rPr>
      </w:pPr>
      <w:r w:rsidRPr="00F71827">
        <w:rPr>
          <w:sz w:val="22"/>
          <w:szCs w:val="22"/>
        </w:rPr>
        <w:t>Dans la</w:t>
      </w:r>
      <w:r w:rsidR="008C0262" w:rsidRPr="00F71827">
        <w:rPr>
          <w:sz w:val="22"/>
          <w:szCs w:val="22"/>
        </w:rPr>
        <w:t xml:space="preserve"> </w:t>
      </w:r>
      <w:r w:rsidR="008C0262" w:rsidRPr="00F71827">
        <w:rPr>
          <w:b/>
          <w:sz w:val="22"/>
          <w:szCs w:val="22"/>
        </w:rPr>
        <w:t>Distribution sélective</w:t>
      </w:r>
      <w:r w:rsidRPr="00F71827">
        <w:rPr>
          <w:sz w:val="22"/>
          <w:szCs w:val="22"/>
        </w:rPr>
        <w:t>, l</w:t>
      </w:r>
      <w:r w:rsidR="00E17119" w:rsidRPr="00F71827">
        <w:rPr>
          <w:sz w:val="22"/>
          <w:szCs w:val="22"/>
        </w:rPr>
        <w:t>a croissance organique d</w:t>
      </w:r>
      <w:r w:rsidRPr="00F71827">
        <w:rPr>
          <w:sz w:val="22"/>
          <w:szCs w:val="22"/>
        </w:rPr>
        <w:t xml:space="preserve">es ventes </w:t>
      </w:r>
      <w:r w:rsidR="00E17119" w:rsidRPr="00F71827">
        <w:rPr>
          <w:sz w:val="22"/>
          <w:szCs w:val="22"/>
        </w:rPr>
        <w:t xml:space="preserve">est de </w:t>
      </w:r>
      <w:r w:rsidR="00E44C5E" w:rsidRPr="00F71827">
        <w:rPr>
          <w:sz w:val="22"/>
          <w:szCs w:val="22"/>
        </w:rPr>
        <w:t>2</w:t>
      </w:r>
      <w:r w:rsidR="00E17119" w:rsidRPr="00F71827">
        <w:rPr>
          <w:sz w:val="22"/>
          <w:szCs w:val="22"/>
        </w:rPr>
        <w:t>6</w:t>
      </w:r>
      <w:r w:rsidR="009A539F" w:rsidRPr="00F71827">
        <w:rPr>
          <w:sz w:val="22"/>
          <w:szCs w:val="22"/>
        </w:rPr>
        <w:t xml:space="preserve"> </w:t>
      </w:r>
      <w:r w:rsidRPr="00F71827">
        <w:rPr>
          <w:sz w:val="22"/>
          <w:szCs w:val="22"/>
        </w:rPr>
        <w:t xml:space="preserve">% </w:t>
      </w:r>
      <w:r w:rsidR="009453A4" w:rsidRPr="00F71827">
        <w:rPr>
          <w:sz w:val="22"/>
          <w:szCs w:val="22"/>
        </w:rPr>
        <w:t>au</w:t>
      </w:r>
      <w:r w:rsidRPr="00F71827">
        <w:rPr>
          <w:sz w:val="22"/>
          <w:szCs w:val="22"/>
        </w:rPr>
        <w:t xml:space="preserve"> premier semestre 202</w:t>
      </w:r>
      <w:r w:rsidR="00E44C5E" w:rsidRPr="00F71827">
        <w:rPr>
          <w:sz w:val="22"/>
          <w:szCs w:val="22"/>
        </w:rPr>
        <w:t>3</w:t>
      </w:r>
      <w:r w:rsidR="00F40B81" w:rsidRPr="00F71827">
        <w:rPr>
          <w:sz w:val="22"/>
          <w:szCs w:val="22"/>
        </w:rPr>
        <w:t xml:space="preserve">. </w:t>
      </w:r>
      <w:r w:rsidR="001F4846" w:rsidRPr="00F71827">
        <w:rPr>
          <w:sz w:val="22"/>
          <w:szCs w:val="22"/>
        </w:rPr>
        <w:t>Le</w:t>
      </w:r>
      <w:r w:rsidR="00C062FD" w:rsidRPr="00F71827">
        <w:rPr>
          <w:sz w:val="22"/>
          <w:szCs w:val="22"/>
        </w:rPr>
        <w:t xml:space="preserve"> résultat opérationnel courant</w:t>
      </w:r>
      <w:r w:rsidR="00C14013" w:rsidRPr="00F71827">
        <w:rPr>
          <w:sz w:val="22"/>
          <w:szCs w:val="22"/>
        </w:rPr>
        <w:t xml:space="preserve"> </w:t>
      </w:r>
      <w:r w:rsidR="009453A4" w:rsidRPr="00F71827">
        <w:rPr>
          <w:sz w:val="22"/>
          <w:szCs w:val="22"/>
        </w:rPr>
        <w:t xml:space="preserve">est en hausse de </w:t>
      </w:r>
      <w:r w:rsidR="00C320C8" w:rsidRPr="00F71827">
        <w:rPr>
          <w:sz w:val="22"/>
          <w:szCs w:val="22"/>
        </w:rPr>
        <w:t>100</w:t>
      </w:r>
      <w:r w:rsidR="004A0433" w:rsidRPr="00F71827">
        <w:rPr>
          <w:sz w:val="22"/>
          <w:szCs w:val="22"/>
        </w:rPr>
        <w:t xml:space="preserve"> %</w:t>
      </w:r>
      <w:r w:rsidR="00C062FD" w:rsidRPr="00F71827">
        <w:rPr>
          <w:sz w:val="22"/>
          <w:szCs w:val="22"/>
        </w:rPr>
        <w:t xml:space="preserve">. </w:t>
      </w:r>
      <w:bookmarkEnd w:id="4"/>
      <w:bookmarkEnd w:id="7"/>
      <w:r w:rsidR="00E44C5E" w:rsidRPr="00F71827">
        <w:rPr>
          <w:sz w:val="22"/>
          <w:szCs w:val="22"/>
        </w:rPr>
        <w:t>Sephora réalise une performance exceptionnelle et continue de gagner des parts de marché</w:t>
      </w:r>
      <w:r w:rsidR="00AF4E79" w:rsidRPr="00F71827">
        <w:rPr>
          <w:sz w:val="22"/>
          <w:szCs w:val="22"/>
        </w:rPr>
        <w:t xml:space="preserve"> grâce à son offre innovante et différenciée de produits et </w:t>
      </w:r>
      <w:r w:rsidR="00012AEB" w:rsidRPr="00F71827">
        <w:rPr>
          <w:sz w:val="22"/>
          <w:szCs w:val="22"/>
        </w:rPr>
        <w:t xml:space="preserve">de </w:t>
      </w:r>
      <w:r w:rsidR="00AF4E79" w:rsidRPr="00F71827">
        <w:rPr>
          <w:sz w:val="22"/>
          <w:szCs w:val="22"/>
        </w:rPr>
        <w:t>services. L</w:t>
      </w:r>
      <w:r w:rsidR="00E44C5E" w:rsidRPr="00F71827">
        <w:rPr>
          <w:sz w:val="22"/>
          <w:szCs w:val="22"/>
        </w:rPr>
        <w:t>a dynamique est particulièrement forte en Amérique du Nord, en Europe et au Moyen-Orient. L’expansion de sa distribution se poursuit</w:t>
      </w:r>
      <w:r w:rsidR="00AF4E79" w:rsidRPr="00F71827">
        <w:rPr>
          <w:sz w:val="22"/>
          <w:szCs w:val="22"/>
        </w:rPr>
        <w:t>,</w:t>
      </w:r>
      <w:r w:rsidR="00E44C5E" w:rsidRPr="00F71827">
        <w:rPr>
          <w:sz w:val="22"/>
          <w:szCs w:val="22"/>
        </w:rPr>
        <w:t xml:space="preserve"> </w:t>
      </w:r>
      <w:r w:rsidR="00AF4E79" w:rsidRPr="00F71827">
        <w:rPr>
          <w:sz w:val="22"/>
          <w:szCs w:val="22"/>
        </w:rPr>
        <w:t xml:space="preserve">notamment </w:t>
      </w:r>
      <w:r w:rsidR="00E44C5E" w:rsidRPr="00F71827">
        <w:rPr>
          <w:sz w:val="22"/>
          <w:szCs w:val="22"/>
        </w:rPr>
        <w:t xml:space="preserve">au Royaume-Uni où </w:t>
      </w:r>
      <w:r w:rsidR="00AF4E79" w:rsidRPr="00F71827">
        <w:rPr>
          <w:sz w:val="22"/>
          <w:szCs w:val="22"/>
        </w:rPr>
        <w:t>sa première boutique</w:t>
      </w:r>
      <w:r w:rsidR="00E44C5E" w:rsidRPr="00F71827">
        <w:rPr>
          <w:sz w:val="22"/>
          <w:szCs w:val="22"/>
        </w:rPr>
        <w:t xml:space="preserve"> connaît un </w:t>
      </w:r>
      <w:r w:rsidR="00AF4E79" w:rsidRPr="00F71827">
        <w:rPr>
          <w:sz w:val="22"/>
          <w:szCs w:val="22"/>
        </w:rPr>
        <w:t>immense succès</w:t>
      </w:r>
      <w:r w:rsidR="00E44C5E" w:rsidRPr="00F71827">
        <w:rPr>
          <w:sz w:val="22"/>
          <w:szCs w:val="22"/>
        </w:rPr>
        <w:t xml:space="preserve">. DFS bénéficie de la reprise </w:t>
      </w:r>
      <w:r w:rsidR="007511CA" w:rsidRPr="00F71827">
        <w:rPr>
          <w:sz w:val="22"/>
          <w:szCs w:val="22"/>
        </w:rPr>
        <w:t xml:space="preserve">progressive </w:t>
      </w:r>
      <w:r w:rsidR="00E44C5E" w:rsidRPr="00F71827">
        <w:rPr>
          <w:sz w:val="22"/>
          <w:szCs w:val="22"/>
        </w:rPr>
        <w:t>des voyages internationaux et, en particulier, du retour des voyageurs dans les destinations phares de Hong Kong et Macao.</w:t>
      </w:r>
      <w:r w:rsidR="00037B75" w:rsidRPr="00F71827">
        <w:rPr>
          <w:sz w:val="22"/>
          <w:szCs w:val="22"/>
        </w:rPr>
        <w:t xml:space="preserve"> En France, la bonne performance de La Samaritaine à Paris confirme son attractivité dans un contexte de hausse de la fréquentation des voyageurs en provenance d’Asie.</w:t>
      </w:r>
      <w:r w:rsidR="007D2955" w:rsidRPr="00F71827">
        <w:rPr>
          <w:sz w:val="22"/>
          <w:szCs w:val="22"/>
        </w:rPr>
        <w:t xml:space="preserve"> Le Bon Marché, en forte progression, poursuit le développement de concepts innovants et bénéficie d’une clientèle française fidèle et </w:t>
      </w:r>
      <w:r w:rsidR="005516B8" w:rsidRPr="00F71827">
        <w:rPr>
          <w:sz w:val="22"/>
          <w:szCs w:val="22"/>
        </w:rPr>
        <w:t xml:space="preserve">du retour </w:t>
      </w:r>
      <w:r w:rsidR="007D2955" w:rsidRPr="00F71827">
        <w:rPr>
          <w:sz w:val="22"/>
          <w:szCs w:val="22"/>
        </w:rPr>
        <w:t>des voyageurs internationaux.</w:t>
      </w:r>
      <w:bookmarkEnd w:id="1"/>
    </w:p>
    <w:p w14:paraId="44E09704" w14:textId="77777777" w:rsidR="003A59A2" w:rsidRPr="00F71827" w:rsidRDefault="003A59A2" w:rsidP="00A33617">
      <w:pPr>
        <w:pStyle w:val="Corpsdetexte"/>
        <w:rPr>
          <w:b/>
          <w:snapToGrid w:val="0"/>
          <w:sz w:val="22"/>
          <w:szCs w:val="22"/>
        </w:rPr>
      </w:pPr>
    </w:p>
    <w:p w14:paraId="770E406D" w14:textId="77777777" w:rsidR="00D54DB5" w:rsidRPr="00F71827" w:rsidRDefault="00C140BD" w:rsidP="008E4189">
      <w:pPr>
        <w:jc w:val="both"/>
        <w:rPr>
          <w:color w:val="000000"/>
          <w:sz w:val="22"/>
          <w:szCs w:val="22"/>
          <w:lang w:val="fr-FR"/>
        </w:rPr>
      </w:pPr>
      <w:r w:rsidRPr="00F71827">
        <w:rPr>
          <w:b/>
          <w:snapToGrid w:val="0"/>
          <w:sz w:val="22"/>
          <w:szCs w:val="22"/>
          <w:lang w:val="fr-FR"/>
        </w:rPr>
        <w:t xml:space="preserve">Perspectives </w:t>
      </w:r>
      <w:r w:rsidR="002534E2" w:rsidRPr="00F71827">
        <w:rPr>
          <w:b/>
          <w:snapToGrid w:val="0"/>
          <w:sz w:val="22"/>
          <w:szCs w:val="22"/>
          <w:lang w:val="fr-FR"/>
        </w:rPr>
        <w:t>202</w:t>
      </w:r>
      <w:r w:rsidR="00906D9C" w:rsidRPr="00F71827">
        <w:rPr>
          <w:b/>
          <w:snapToGrid w:val="0"/>
          <w:sz w:val="22"/>
          <w:szCs w:val="22"/>
          <w:lang w:val="fr-FR"/>
        </w:rPr>
        <w:t>3</w:t>
      </w:r>
    </w:p>
    <w:p w14:paraId="78CA9CD7" w14:textId="77777777" w:rsidR="005F32E6" w:rsidRPr="00F71827" w:rsidRDefault="005F32E6" w:rsidP="00053370">
      <w:pPr>
        <w:pStyle w:val="Corpsdetexte"/>
        <w:rPr>
          <w:color w:val="000000"/>
          <w:sz w:val="22"/>
          <w:szCs w:val="22"/>
        </w:rPr>
      </w:pPr>
    </w:p>
    <w:p w14:paraId="0FEFDF11" w14:textId="77777777" w:rsidR="00B85E20" w:rsidRPr="00F71827" w:rsidRDefault="00906D9C" w:rsidP="00053370">
      <w:pPr>
        <w:pStyle w:val="Corpsdetexte"/>
        <w:rPr>
          <w:color w:val="000000"/>
          <w:sz w:val="22"/>
          <w:szCs w:val="22"/>
        </w:rPr>
      </w:pPr>
      <w:r w:rsidRPr="00F71827">
        <w:rPr>
          <w:color w:val="000000"/>
          <w:sz w:val="22"/>
          <w:szCs w:val="22"/>
        </w:rPr>
        <w:t>Dans un contexte géopolitique et économique incertain,</w:t>
      </w:r>
      <w:r w:rsidR="002534E2" w:rsidRPr="00F71827">
        <w:rPr>
          <w:color w:val="000000"/>
          <w:sz w:val="22"/>
          <w:szCs w:val="22"/>
        </w:rPr>
        <w:t xml:space="preserve"> le Groupe maintiendra une stratégie centrée sur l</w:t>
      </w:r>
      <w:r w:rsidR="00097369" w:rsidRPr="00F71827">
        <w:rPr>
          <w:color w:val="000000"/>
          <w:sz w:val="22"/>
          <w:szCs w:val="22"/>
        </w:rPr>
        <w:t xml:space="preserve">e renforcement continu de la désirabilité </w:t>
      </w:r>
      <w:r w:rsidR="002534E2" w:rsidRPr="00F71827">
        <w:rPr>
          <w:color w:val="000000"/>
          <w:sz w:val="22"/>
          <w:szCs w:val="22"/>
        </w:rPr>
        <w:t>de ses marques</w:t>
      </w:r>
      <w:r w:rsidR="001531CC" w:rsidRPr="00F71827">
        <w:rPr>
          <w:color w:val="000000"/>
          <w:sz w:val="22"/>
          <w:szCs w:val="22"/>
        </w:rPr>
        <w:t xml:space="preserve"> </w:t>
      </w:r>
      <w:r w:rsidR="002534E2" w:rsidRPr="00F71827">
        <w:rPr>
          <w:color w:val="000000"/>
          <w:sz w:val="22"/>
          <w:szCs w:val="22"/>
        </w:rPr>
        <w:t xml:space="preserve">en s’appuyant sur l’exceptionnelle qualité de ses produits et </w:t>
      </w:r>
      <w:r w:rsidR="00145D5E" w:rsidRPr="00F71827">
        <w:rPr>
          <w:color w:val="000000"/>
          <w:sz w:val="22"/>
          <w:szCs w:val="22"/>
        </w:rPr>
        <w:t xml:space="preserve">sur </w:t>
      </w:r>
      <w:r w:rsidR="002534E2" w:rsidRPr="00F71827">
        <w:rPr>
          <w:color w:val="000000"/>
          <w:sz w:val="22"/>
          <w:szCs w:val="22"/>
        </w:rPr>
        <w:t>l</w:t>
      </w:r>
      <w:r w:rsidR="004E488F" w:rsidRPr="00F71827">
        <w:rPr>
          <w:color w:val="000000"/>
          <w:sz w:val="22"/>
          <w:szCs w:val="22"/>
        </w:rPr>
        <w:t>’excellence de sa distribution</w:t>
      </w:r>
      <w:r w:rsidR="002534E2" w:rsidRPr="00F71827">
        <w:rPr>
          <w:color w:val="000000"/>
          <w:sz w:val="22"/>
          <w:szCs w:val="22"/>
        </w:rPr>
        <w:t xml:space="preserve">. </w:t>
      </w:r>
    </w:p>
    <w:p w14:paraId="004D4581" w14:textId="77777777" w:rsidR="00401F45" w:rsidRPr="00F71827" w:rsidRDefault="00660E95" w:rsidP="00660E95">
      <w:pPr>
        <w:pStyle w:val="Corpsdetexte"/>
        <w:rPr>
          <w:color w:val="000000"/>
          <w:sz w:val="22"/>
          <w:szCs w:val="22"/>
        </w:rPr>
      </w:pPr>
      <w:r w:rsidRPr="00F71827">
        <w:rPr>
          <w:color w:val="000000"/>
          <w:sz w:val="22"/>
          <w:szCs w:val="22"/>
        </w:rPr>
        <w:t>Notre politique exigeante de qualité pour toutes nos réalisations</w:t>
      </w:r>
      <w:r w:rsidR="00145D5E" w:rsidRPr="00F71827">
        <w:rPr>
          <w:color w:val="000000"/>
          <w:sz w:val="22"/>
          <w:szCs w:val="22"/>
        </w:rPr>
        <w:t>,</w:t>
      </w:r>
      <w:r w:rsidRPr="00F71827">
        <w:rPr>
          <w:color w:val="000000"/>
          <w:sz w:val="22"/>
          <w:szCs w:val="22"/>
        </w:rPr>
        <w:t xml:space="preserve"> le dynamisme et la créativité incomparable de nos équipes nous permettront de renforcer encore en 20</w:t>
      </w:r>
      <w:r w:rsidR="00B85E20" w:rsidRPr="00F71827">
        <w:rPr>
          <w:color w:val="000000"/>
          <w:sz w:val="22"/>
          <w:szCs w:val="22"/>
        </w:rPr>
        <w:t>2</w:t>
      </w:r>
      <w:r w:rsidR="00906D9C" w:rsidRPr="00F71827">
        <w:rPr>
          <w:color w:val="000000"/>
          <w:sz w:val="22"/>
          <w:szCs w:val="22"/>
        </w:rPr>
        <w:t>3</w:t>
      </w:r>
      <w:r w:rsidRPr="00F71827">
        <w:rPr>
          <w:color w:val="000000"/>
          <w:sz w:val="22"/>
          <w:szCs w:val="22"/>
        </w:rPr>
        <w:t xml:space="preserve"> l</w:t>
      </w:r>
      <w:r w:rsidR="003A4B8C" w:rsidRPr="00F71827">
        <w:rPr>
          <w:color w:val="000000"/>
          <w:sz w:val="22"/>
          <w:szCs w:val="22"/>
        </w:rPr>
        <w:t xml:space="preserve">’avance </w:t>
      </w:r>
      <w:r w:rsidRPr="00F71827">
        <w:rPr>
          <w:color w:val="000000"/>
          <w:sz w:val="22"/>
          <w:szCs w:val="22"/>
        </w:rPr>
        <w:t>du Groupe LVMH sur le marché mondial du luxe.</w:t>
      </w:r>
    </w:p>
    <w:p w14:paraId="2F700D6D" w14:textId="77777777" w:rsidR="00043046" w:rsidRPr="00F71827" w:rsidRDefault="00043046" w:rsidP="0062689F">
      <w:pPr>
        <w:pStyle w:val="Corpsdetexte"/>
        <w:rPr>
          <w:sz w:val="22"/>
          <w:szCs w:val="22"/>
        </w:rPr>
      </w:pPr>
    </w:p>
    <w:p w14:paraId="78BFE4D7" w14:textId="77777777" w:rsidR="0062689F" w:rsidRPr="00F71827" w:rsidRDefault="0062689F" w:rsidP="0062689F">
      <w:pPr>
        <w:pStyle w:val="Corpsdetexte"/>
        <w:rPr>
          <w:sz w:val="22"/>
          <w:szCs w:val="22"/>
        </w:rPr>
      </w:pPr>
      <w:r w:rsidRPr="00F71827">
        <w:rPr>
          <w:sz w:val="22"/>
          <w:szCs w:val="22"/>
        </w:rPr>
        <w:t xml:space="preserve">Un acompte sur dividende de </w:t>
      </w:r>
      <w:r w:rsidR="00671632" w:rsidRPr="00F71827">
        <w:rPr>
          <w:sz w:val="22"/>
          <w:szCs w:val="22"/>
        </w:rPr>
        <w:t>5,50</w:t>
      </w:r>
      <w:r w:rsidRPr="00F71827">
        <w:rPr>
          <w:sz w:val="22"/>
          <w:szCs w:val="22"/>
        </w:rPr>
        <w:t xml:space="preserve"> </w:t>
      </w:r>
      <w:r w:rsidR="00DC42E7" w:rsidRPr="00F71827">
        <w:rPr>
          <w:sz w:val="22"/>
          <w:szCs w:val="22"/>
        </w:rPr>
        <w:t>e</w:t>
      </w:r>
      <w:r w:rsidRPr="00F71827">
        <w:rPr>
          <w:sz w:val="22"/>
          <w:szCs w:val="22"/>
        </w:rPr>
        <w:t>uros sera mis en paiement le</w:t>
      </w:r>
      <w:r w:rsidR="005207EE" w:rsidRPr="00F71827">
        <w:rPr>
          <w:sz w:val="22"/>
          <w:szCs w:val="22"/>
        </w:rPr>
        <w:t xml:space="preserve"> </w:t>
      </w:r>
      <w:r w:rsidR="002766AB" w:rsidRPr="00F71827">
        <w:rPr>
          <w:sz w:val="22"/>
          <w:szCs w:val="22"/>
        </w:rPr>
        <w:t>mercredi 6</w:t>
      </w:r>
      <w:r w:rsidRPr="00F71827">
        <w:rPr>
          <w:sz w:val="22"/>
          <w:szCs w:val="22"/>
        </w:rPr>
        <w:t xml:space="preserve"> décembre 202</w:t>
      </w:r>
      <w:r w:rsidR="00906D9C" w:rsidRPr="00F71827">
        <w:rPr>
          <w:sz w:val="22"/>
          <w:szCs w:val="22"/>
        </w:rPr>
        <w:t>3</w:t>
      </w:r>
      <w:r w:rsidRPr="00F71827">
        <w:rPr>
          <w:sz w:val="22"/>
          <w:szCs w:val="22"/>
        </w:rPr>
        <w:t>. </w:t>
      </w:r>
    </w:p>
    <w:p w14:paraId="74BAF6F3" w14:textId="77777777" w:rsidR="005F32E6" w:rsidRPr="00F71827" w:rsidRDefault="005F32E6" w:rsidP="00C140BD">
      <w:pPr>
        <w:pStyle w:val="Corpsdetexte"/>
        <w:rPr>
          <w:i/>
          <w:color w:val="000000"/>
          <w:sz w:val="22"/>
          <w:szCs w:val="22"/>
        </w:rPr>
      </w:pPr>
    </w:p>
    <w:p w14:paraId="43A0C961" w14:textId="77777777" w:rsidR="00C140BD" w:rsidRPr="00F71827" w:rsidRDefault="00C140BD" w:rsidP="00C140BD">
      <w:pPr>
        <w:pStyle w:val="Corpsdetexte"/>
        <w:rPr>
          <w:i/>
          <w:color w:val="000000"/>
          <w:sz w:val="22"/>
          <w:szCs w:val="22"/>
        </w:rPr>
      </w:pPr>
      <w:r w:rsidRPr="00F71827">
        <w:rPr>
          <w:i/>
          <w:color w:val="000000"/>
          <w:sz w:val="22"/>
          <w:szCs w:val="22"/>
        </w:rPr>
        <w:t>L'information r</w:t>
      </w:r>
      <w:r w:rsidR="00957BF7" w:rsidRPr="00F71827">
        <w:rPr>
          <w:i/>
          <w:color w:val="000000"/>
          <w:sz w:val="22"/>
          <w:szCs w:val="22"/>
        </w:rPr>
        <w:t xml:space="preserve">églementée liée à ce communiqué ainsi que la présentation </w:t>
      </w:r>
      <w:r w:rsidR="00AD1565" w:rsidRPr="00F71827">
        <w:rPr>
          <w:i/>
          <w:color w:val="000000"/>
          <w:sz w:val="22"/>
          <w:szCs w:val="22"/>
        </w:rPr>
        <w:t xml:space="preserve">des résultats semestriels </w:t>
      </w:r>
      <w:r w:rsidR="00957BF7" w:rsidRPr="00F71827">
        <w:rPr>
          <w:i/>
          <w:color w:val="000000"/>
          <w:sz w:val="22"/>
          <w:szCs w:val="22"/>
        </w:rPr>
        <w:t xml:space="preserve">et le rapport </w:t>
      </w:r>
      <w:r w:rsidR="009E24F8" w:rsidRPr="00F71827">
        <w:rPr>
          <w:i/>
          <w:color w:val="000000"/>
          <w:sz w:val="22"/>
          <w:szCs w:val="22"/>
        </w:rPr>
        <w:t xml:space="preserve">financier </w:t>
      </w:r>
      <w:r w:rsidR="00957BF7" w:rsidRPr="00F71827">
        <w:rPr>
          <w:i/>
          <w:color w:val="000000"/>
          <w:sz w:val="22"/>
          <w:szCs w:val="22"/>
        </w:rPr>
        <w:t xml:space="preserve">semestriel </w:t>
      </w:r>
      <w:r w:rsidRPr="00F71827">
        <w:rPr>
          <w:i/>
          <w:color w:val="000000"/>
          <w:sz w:val="22"/>
          <w:szCs w:val="22"/>
        </w:rPr>
        <w:t>s</w:t>
      </w:r>
      <w:r w:rsidR="00957BF7" w:rsidRPr="00F71827">
        <w:rPr>
          <w:i/>
          <w:color w:val="000000"/>
          <w:sz w:val="22"/>
          <w:szCs w:val="22"/>
        </w:rPr>
        <w:t>on</w:t>
      </w:r>
      <w:r w:rsidRPr="00F71827">
        <w:rPr>
          <w:i/>
          <w:color w:val="000000"/>
          <w:sz w:val="22"/>
          <w:szCs w:val="22"/>
        </w:rPr>
        <w:t>t disponible</w:t>
      </w:r>
      <w:r w:rsidR="00957BF7" w:rsidRPr="00F71827">
        <w:rPr>
          <w:i/>
          <w:color w:val="000000"/>
          <w:sz w:val="22"/>
          <w:szCs w:val="22"/>
        </w:rPr>
        <w:t>s</w:t>
      </w:r>
      <w:r w:rsidRPr="00F71827">
        <w:rPr>
          <w:i/>
          <w:color w:val="000000"/>
          <w:sz w:val="22"/>
          <w:szCs w:val="22"/>
        </w:rPr>
        <w:t xml:space="preserve"> sur le site web </w:t>
      </w:r>
      <w:hyperlink r:id="rId8" w:history="1">
        <w:r w:rsidRPr="00F71827">
          <w:rPr>
            <w:rStyle w:val="Lienhypertexte"/>
            <w:i/>
            <w:sz w:val="22"/>
            <w:szCs w:val="22"/>
          </w:rPr>
          <w:t>www.lvmh.fr</w:t>
        </w:r>
      </w:hyperlink>
      <w:r w:rsidRPr="00F71827">
        <w:rPr>
          <w:i/>
          <w:color w:val="000000"/>
          <w:sz w:val="22"/>
          <w:szCs w:val="22"/>
        </w:rPr>
        <w:t>.</w:t>
      </w:r>
    </w:p>
    <w:p w14:paraId="0A5A66E2" w14:textId="77777777" w:rsidR="00FC35CB" w:rsidRPr="00F71827" w:rsidRDefault="00C43FDC" w:rsidP="00FC35CB">
      <w:pPr>
        <w:pStyle w:val="Corpsdetexte"/>
        <w:rPr>
          <w:i/>
          <w:color w:val="000000"/>
          <w:sz w:val="22"/>
          <w:szCs w:val="22"/>
        </w:rPr>
      </w:pPr>
      <w:r w:rsidRPr="00F71827">
        <w:rPr>
          <w:i/>
          <w:color w:val="000000"/>
          <w:sz w:val="22"/>
          <w:szCs w:val="22"/>
        </w:rPr>
        <w:t>Procédures d</w:t>
      </w:r>
      <w:r w:rsidR="00043046" w:rsidRPr="00F71827">
        <w:rPr>
          <w:i/>
          <w:color w:val="000000"/>
          <w:sz w:val="22"/>
          <w:szCs w:val="22"/>
        </w:rPr>
        <w:t>’examen</w:t>
      </w:r>
      <w:r w:rsidRPr="00F71827">
        <w:rPr>
          <w:i/>
          <w:color w:val="000000"/>
          <w:sz w:val="22"/>
          <w:szCs w:val="22"/>
        </w:rPr>
        <w:t xml:space="preserve"> limité effectuées, rapport afférant émis à l'issue du Conseil d'</w:t>
      </w:r>
      <w:r w:rsidR="00922F49" w:rsidRPr="00F71827">
        <w:rPr>
          <w:i/>
          <w:color w:val="000000"/>
          <w:sz w:val="22"/>
          <w:szCs w:val="22"/>
        </w:rPr>
        <w:t>a</w:t>
      </w:r>
      <w:r w:rsidRPr="00F71827">
        <w:rPr>
          <w:i/>
          <w:color w:val="000000"/>
          <w:sz w:val="22"/>
          <w:szCs w:val="22"/>
        </w:rPr>
        <w:t>dministration.</w:t>
      </w:r>
    </w:p>
    <w:p w14:paraId="49299B02" w14:textId="77777777" w:rsidR="00EB75DE" w:rsidRPr="00F71827" w:rsidRDefault="00EB75DE" w:rsidP="00FC35CB">
      <w:pPr>
        <w:pStyle w:val="Corpsdetexte"/>
        <w:rPr>
          <w:i/>
          <w:color w:val="000000"/>
          <w:sz w:val="22"/>
          <w:szCs w:val="22"/>
        </w:rPr>
      </w:pPr>
    </w:p>
    <w:p w14:paraId="5C2C6A53" w14:textId="77777777" w:rsidR="00220025" w:rsidRPr="00F71827" w:rsidRDefault="00EB75DE" w:rsidP="00EB75DE">
      <w:pPr>
        <w:rPr>
          <w:rStyle w:val="Lienhypertexte"/>
          <w:i/>
          <w:iCs/>
          <w:sz w:val="22"/>
          <w:szCs w:val="22"/>
          <w:lang w:val="fr-FR"/>
        </w:rPr>
      </w:pPr>
      <w:r w:rsidRPr="00F71827">
        <w:rPr>
          <w:i/>
          <w:iCs/>
          <w:sz w:val="22"/>
          <w:szCs w:val="22"/>
          <w:lang w:val="fr-FR"/>
        </w:rPr>
        <w:t xml:space="preserve">Le détail du </w:t>
      </w:r>
      <w:proofErr w:type="spellStart"/>
      <w:r w:rsidRPr="00F71827">
        <w:rPr>
          <w:i/>
          <w:iCs/>
          <w:sz w:val="22"/>
          <w:szCs w:val="22"/>
          <w:lang w:val="fr-FR"/>
        </w:rPr>
        <w:t>webcast</w:t>
      </w:r>
      <w:proofErr w:type="spellEnd"/>
      <w:r w:rsidRPr="00F71827">
        <w:rPr>
          <w:i/>
          <w:iCs/>
          <w:sz w:val="22"/>
          <w:szCs w:val="22"/>
          <w:lang w:val="fr-FR"/>
        </w:rPr>
        <w:t xml:space="preserve"> relatif à la publication des </w:t>
      </w:r>
      <w:r w:rsidR="00EE43EF" w:rsidRPr="00F71827">
        <w:rPr>
          <w:i/>
          <w:iCs/>
          <w:sz w:val="22"/>
          <w:szCs w:val="22"/>
          <w:lang w:val="fr-FR"/>
        </w:rPr>
        <w:t xml:space="preserve">résultats semestriels </w:t>
      </w:r>
      <w:r w:rsidRPr="00F71827">
        <w:rPr>
          <w:i/>
          <w:iCs/>
          <w:sz w:val="22"/>
          <w:szCs w:val="22"/>
          <w:lang w:val="fr-FR"/>
        </w:rPr>
        <w:t>202</w:t>
      </w:r>
      <w:r w:rsidR="003D7AF7" w:rsidRPr="00F71827">
        <w:rPr>
          <w:i/>
          <w:iCs/>
          <w:sz w:val="22"/>
          <w:szCs w:val="22"/>
          <w:lang w:val="fr-FR"/>
        </w:rPr>
        <w:t>3</w:t>
      </w:r>
      <w:r w:rsidRPr="00F71827">
        <w:rPr>
          <w:i/>
          <w:iCs/>
          <w:sz w:val="22"/>
          <w:szCs w:val="22"/>
          <w:lang w:val="fr-FR"/>
        </w:rPr>
        <w:t xml:space="preserve"> est disponible sur : </w:t>
      </w:r>
      <w:r w:rsidR="00220025" w:rsidRPr="00F71827">
        <w:rPr>
          <w:i/>
          <w:iCs/>
          <w:sz w:val="22"/>
          <w:szCs w:val="22"/>
          <w:lang w:val="fr-FR"/>
        </w:rPr>
        <w:fldChar w:fldCharType="begin"/>
      </w:r>
      <w:r w:rsidR="005418F2" w:rsidRPr="00F71827">
        <w:rPr>
          <w:i/>
          <w:iCs/>
          <w:sz w:val="22"/>
          <w:szCs w:val="22"/>
          <w:lang w:val="fr-FR"/>
        </w:rPr>
        <w:instrText>HYPERLINK "https://www.lvmh.fr/actionnaires/agenda/resultats-semestriels-2023/"</w:instrText>
      </w:r>
      <w:r w:rsidR="00220025" w:rsidRPr="00F71827">
        <w:rPr>
          <w:i/>
          <w:iCs/>
          <w:sz w:val="22"/>
          <w:szCs w:val="22"/>
          <w:lang w:val="fr-FR"/>
        </w:rPr>
      </w:r>
      <w:r w:rsidR="00220025" w:rsidRPr="00F71827">
        <w:rPr>
          <w:i/>
          <w:iCs/>
          <w:sz w:val="22"/>
          <w:szCs w:val="22"/>
          <w:lang w:val="fr-FR"/>
        </w:rPr>
        <w:fldChar w:fldCharType="separate"/>
      </w:r>
      <w:r w:rsidR="00220025" w:rsidRPr="00F71827">
        <w:rPr>
          <w:rStyle w:val="Lienhypertexte"/>
          <w:i/>
          <w:iCs/>
          <w:sz w:val="22"/>
          <w:szCs w:val="22"/>
          <w:lang w:val="fr-FR"/>
        </w:rPr>
        <w:t>www.lvmh.fr</w:t>
      </w:r>
    </w:p>
    <w:p w14:paraId="2EF7E0BF" w14:textId="77777777" w:rsidR="00A53942" w:rsidRPr="00086A79" w:rsidRDefault="00220025" w:rsidP="00E96782">
      <w:pPr>
        <w:pStyle w:val="Corpsdetexte"/>
        <w:rPr>
          <w:b/>
          <w:sz w:val="28"/>
          <w:szCs w:val="28"/>
        </w:rPr>
      </w:pPr>
      <w:r w:rsidRPr="00F71827">
        <w:rPr>
          <w:rStyle w:val="Lienhypertexte"/>
          <w:sz w:val="22"/>
          <w:szCs w:val="22"/>
        </w:rPr>
        <w:br w:type="page"/>
      </w:r>
      <w:r w:rsidRPr="00F71827">
        <w:rPr>
          <w:i/>
          <w:iCs/>
          <w:sz w:val="22"/>
          <w:szCs w:val="22"/>
        </w:rPr>
        <w:lastRenderedPageBreak/>
        <w:fldChar w:fldCharType="end"/>
      </w:r>
      <w:r w:rsidR="00A53942" w:rsidRPr="00086A79">
        <w:rPr>
          <w:b/>
          <w:sz w:val="28"/>
          <w:szCs w:val="28"/>
        </w:rPr>
        <w:t>ANNEXE</w:t>
      </w:r>
    </w:p>
    <w:p w14:paraId="7675DD1E" w14:textId="77777777" w:rsidR="00A53942" w:rsidRPr="005C09EA" w:rsidRDefault="00A53942" w:rsidP="00A53942">
      <w:pPr>
        <w:jc w:val="both"/>
        <w:rPr>
          <w:sz w:val="16"/>
          <w:szCs w:val="16"/>
          <w:lang w:val="fr-FR"/>
        </w:rPr>
      </w:pPr>
    </w:p>
    <w:p w14:paraId="22B0D105" w14:textId="77777777" w:rsidR="00B85E20" w:rsidRPr="00B85E20" w:rsidRDefault="00B85E20" w:rsidP="00A53942">
      <w:pPr>
        <w:jc w:val="both"/>
        <w:rPr>
          <w:bCs/>
          <w:sz w:val="24"/>
          <w:szCs w:val="24"/>
          <w:lang w:val="fr-FR"/>
        </w:rPr>
      </w:pPr>
      <w:r w:rsidRPr="00B85E20">
        <w:rPr>
          <w:bCs/>
          <w:sz w:val="24"/>
          <w:szCs w:val="24"/>
          <w:lang w:val="fr-FR"/>
        </w:rPr>
        <w:t xml:space="preserve">Les comptes consolidés résumés </w:t>
      </w:r>
      <w:r>
        <w:rPr>
          <w:bCs/>
          <w:sz w:val="24"/>
          <w:szCs w:val="24"/>
          <w:lang w:val="fr-FR"/>
        </w:rPr>
        <w:t>du premier semestre 202</w:t>
      </w:r>
      <w:r w:rsidR="0068186F">
        <w:rPr>
          <w:bCs/>
          <w:sz w:val="24"/>
          <w:szCs w:val="24"/>
          <w:lang w:val="fr-FR"/>
        </w:rPr>
        <w:t>3</w:t>
      </w:r>
      <w:r w:rsidRPr="00B85E20">
        <w:rPr>
          <w:bCs/>
          <w:sz w:val="24"/>
          <w:szCs w:val="24"/>
          <w:lang w:val="fr-FR"/>
        </w:rPr>
        <w:t xml:space="preserve"> sont inclus dans la version PDF du communiqué.</w:t>
      </w:r>
    </w:p>
    <w:p w14:paraId="744F6FE0" w14:textId="77777777" w:rsidR="00B85E20" w:rsidRPr="00086A79" w:rsidRDefault="00B85E20" w:rsidP="00A53942">
      <w:pPr>
        <w:jc w:val="both"/>
        <w:rPr>
          <w:lang w:val="fr-FR"/>
        </w:rPr>
      </w:pPr>
    </w:p>
    <w:p w14:paraId="2683D405" w14:textId="77777777" w:rsidR="001263FC" w:rsidRPr="006F72AB" w:rsidRDefault="00A53942" w:rsidP="00CC79AC">
      <w:pPr>
        <w:jc w:val="both"/>
        <w:rPr>
          <w:b/>
          <w:sz w:val="22"/>
          <w:szCs w:val="22"/>
          <w:lang w:val="fr-FR"/>
        </w:rPr>
      </w:pPr>
      <w:r w:rsidRPr="006F72AB">
        <w:rPr>
          <w:b/>
          <w:sz w:val="22"/>
          <w:szCs w:val="22"/>
          <w:lang w:val="fr-FR"/>
        </w:rPr>
        <w:t>LVMH – Répartition des ventes par groupe d’activités et par trimestre</w:t>
      </w:r>
    </w:p>
    <w:p w14:paraId="2A69902C" w14:textId="77777777" w:rsidR="007870A6" w:rsidRDefault="007870A6" w:rsidP="007870A6">
      <w:pPr>
        <w:jc w:val="both"/>
        <w:rPr>
          <w:szCs w:val="24"/>
          <w:lang w:val="fr-FR"/>
        </w:rPr>
      </w:pPr>
    </w:p>
    <w:p w14:paraId="2ECC9EFC" w14:textId="77777777" w:rsidR="00DC5ED8" w:rsidRPr="00010398" w:rsidRDefault="00DC5ED8" w:rsidP="00DC5ED8">
      <w:pPr>
        <w:jc w:val="both"/>
        <w:rPr>
          <w:b/>
        </w:rPr>
      </w:pPr>
      <w:r w:rsidRPr="00010398">
        <w:rPr>
          <w:b/>
        </w:rPr>
        <w:t>Ventes 20</w:t>
      </w:r>
      <w:r>
        <w:rPr>
          <w:b/>
        </w:rPr>
        <w:t>2</w:t>
      </w:r>
      <w:r w:rsidR="00906D9C">
        <w:rPr>
          <w:b/>
        </w:rPr>
        <w:t>3</w:t>
      </w:r>
      <w:r w:rsidR="00E9536A">
        <w:rPr>
          <w:b/>
        </w:rPr>
        <w:t xml:space="preserve"> </w:t>
      </w:r>
      <w:r w:rsidRPr="00010398">
        <w:rPr>
          <w:b/>
        </w:rPr>
        <w:t>(</w:t>
      </w:r>
      <w:proofErr w:type="spellStart"/>
      <w:r w:rsidRPr="00010398">
        <w:rPr>
          <w:b/>
        </w:rPr>
        <w:t>en</w:t>
      </w:r>
      <w:proofErr w:type="spellEnd"/>
      <w:r w:rsidRPr="00010398">
        <w:rPr>
          <w:b/>
        </w:rPr>
        <w:t xml:space="preserve"> millions </w:t>
      </w:r>
      <w:proofErr w:type="spellStart"/>
      <w:r w:rsidRPr="00010398">
        <w:rPr>
          <w:b/>
        </w:rPr>
        <w:t>d’euros</w:t>
      </w:r>
      <w:proofErr w:type="spellEnd"/>
      <w:r w:rsidRPr="00010398">
        <w:rPr>
          <w:b/>
        </w:rPr>
        <w: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88"/>
        <w:gridCol w:w="992"/>
        <w:gridCol w:w="1134"/>
        <w:gridCol w:w="1134"/>
        <w:gridCol w:w="1134"/>
        <w:gridCol w:w="1134"/>
        <w:gridCol w:w="1134"/>
        <w:gridCol w:w="992"/>
      </w:tblGrid>
      <w:tr w:rsidR="00DC5ED8" w:rsidRPr="00010398" w14:paraId="2640D7A4" w14:textId="77777777" w:rsidTr="00400C6A">
        <w:trPr>
          <w:trHeight w:val="469"/>
        </w:trPr>
        <w:tc>
          <w:tcPr>
            <w:tcW w:w="1588" w:type="dxa"/>
            <w:tcBorders>
              <w:left w:val="nil"/>
              <w:bottom w:val="single" w:sz="4" w:space="0" w:color="auto"/>
              <w:right w:val="nil"/>
            </w:tcBorders>
            <w:shd w:val="clear" w:color="auto" w:fill="auto"/>
            <w:vAlign w:val="center"/>
          </w:tcPr>
          <w:p w14:paraId="7AFBE975" w14:textId="77777777" w:rsidR="00DC5ED8" w:rsidRPr="00010398" w:rsidRDefault="00DC5ED8" w:rsidP="00400C6A">
            <w:pPr>
              <w:ind w:right="-2"/>
              <w:rPr>
                <w:i/>
                <w:sz w:val="16"/>
                <w:szCs w:val="16"/>
              </w:rPr>
            </w:pPr>
            <w:proofErr w:type="spellStart"/>
            <w:r w:rsidRPr="00010398">
              <w:rPr>
                <w:i/>
                <w:sz w:val="16"/>
                <w:szCs w:val="16"/>
              </w:rPr>
              <w:t>Année</w:t>
            </w:r>
            <w:proofErr w:type="spellEnd"/>
            <w:r w:rsidRPr="00010398">
              <w:rPr>
                <w:i/>
                <w:sz w:val="16"/>
                <w:szCs w:val="16"/>
              </w:rPr>
              <w:t xml:space="preserve"> 2</w:t>
            </w:r>
            <w:r>
              <w:rPr>
                <w:i/>
                <w:sz w:val="16"/>
                <w:szCs w:val="16"/>
              </w:rPr>
              <w:t>02</w:t>
            </w:r>
            <w:r w:rsidR="00906D9C">
              <w:rPr>
                <w:i/>
                <w:sz w:val="16"/>
                <w:szCs w:val="16"/>
              </w:rPr>
              <w:t>3</w:t>
            </w:r>
          </w:p>
        </w:tc>
        <w:tc>
          <w:tcPr>
            <w:tcW w:w="992" w:type="dxa"/>
            <w:tcBorders>
              <w:left w:val="nil"/>
              <w:bottom w:val="single" w:sz="4" w:space="0" w:color="auto"/>
              <w:right w:val="nil"/>
            </w:tcBorders>
            <w:shd w:val="clear" w:color="auto" w:fill="auto"/>
            <w:vAlign w:val="center"/>
          </w:tcPr>
          <w:p w14:paraId="2D382B63" w14:textId="77777777" w:rsidR="00DC5ED8" w:rsidRPr="00010398" w:rsidRDefault="00DC5ED8" w:rsidP="00400C6A">
            <w:pPr>
              <w:ind w:right="-2"/>
              <w:jc w:val="right"/>
              <w:rPr>
                <w:sz w:val="16"/>
                <w:szCs w:val="16"/>
              </w:rPr>
            </w:pPr>
            <w:proofErr w:type="spellStart"/>
            <w:r w:rsidRPr="00010398">
              <w:rPr>
                <w:sz w:val="16"/>
                <w:szCs w:val="16"/>
              </w:rPr>
              <w:t>Vins</w:t>
            </w:r>
            <w:proofErr w:type="spellEnd"/>
            <w:r w:rsidRPr="00010398">
              <w:rPr>
                <w:sz w:val="16"/>
                <w:szCs w:val="16"/>
              </w:rPr>
              <w:t xml:space="preserve"> et </w:t>
            </w:r>
            <w:proofErr w:type="spellStart"/>
            <w:r w:rsidRPr="00010398">
              <w:rPr>
                <w:sz w:val="16"/>
                <w:szCs w:val="16"/>
              </w:rPr>
              <w:t>Spiritueux</w:t>
            </w:r>
            <w:proofErr w:type="spellEnd"/>
          </w:p>
        </w:tc>
        <w:tc>
          <w:tcPr>
            <w:tcW w:w="1134" w:type="dxa"/>
            <w:tcBorders>
              <w:left w:val="nil"/>
              <w:bottom w:val="single" w:sz="4" w:space="0" w:color="auto"/>
              <w:right w:val="nil"/>
            </w:tcBorders>
            <w:shd w:val="clear" w:color="auto" w:fill="auto"/>
            <w:vAlign w:val="center"/>
          </w:tcPr>
          <w:p w14:paraId="5EE52E6F" w14:textId="77777777" w:rsidR="00DC5ED8" w:rsidRPr="00010398" w:rsidRDefault="00DC5ED8" w:rsidP="00400C6A">
            <w:pPr>
              <w:ind w:right="-2"/>
              <w:jc w:val="right"/>
              <w:rPr>
                <w:sz w:val="16"/>
                <w:szCs w:val="16"/>
              </w:rPr>
            </w:pPr>
            <w:r w:rsidRPr="00010398">
              <w:rPr>
                <w:sz w:val="16"/>
                <w:szCs w:val="16"/>
              </w:rPr>
              <w:t xml:space="preserve">Mode et </w:t>
            </w:r>
            <w:proofErr w:type="spellStart"/>
            <w:r w:rsidRPr="00010398">
              <w:rPr>
                <w:sz w:val="16"/>
                <w:szCs w:val="16"/>
              </w:rPr>
              <w:t>Maroquinerie</w:t>
            </w:r>
            <w:proofErr w:type="spellEnd"/>
          </w:p>
        </w:tc>
        <w:tc>
          <w:tcPr>
            <w:tcW w:w="1134" w:type="dxa"/>
            <w:tcBorders>
              <w:left w:val="nil"/>
              <w:bottom w:val="single" w:sz="4" w:space="0" w:color="auto"/>
              <w:right w:val="nil"/>
            </w:tcBorders>
            <w:shd w:val="clear" w:color="auto" w:fill="auto"/>
            <w:vAlign w:val="center"/>
          </w:tcPr>
          <w:p w14:paraId="19333E61" w14:textId="77777777" w:rsidR="00DC5ED8" w:rsidRPr="00010398" w:rsidRDefault="00DC5ED8" w:rsidP="00400C6A">
            <w:pPr>
              <w:ind w:right="-2"/>
              <w:jc w:val="right"/>
              <w:rPr>
                <w:sz w:val="16"/>
                <w:szCs w:val="16"/>
              </w:rPr>
            </w:pPr>
            <w:r w:rsidRPr="00010398">
              <w:rPr>
                <w:sz w:val="16"/>
                <w:szCs w:val="16"/>
              </w:rPr>
              <w:t xml:space="preserve">Parfums et </w:t>
            </w:r>
            <w:proofErr w:type="spellStart"/>
            <w:r w:rsidRPr="00010398">
              <w:rPr>
                <w:sz w:val="16"/>
                <w:szCs w:val="16"/>
              </w:rPr>
              <w:t>Cosmétiques</w:t>
            </w:r>
            <w:proofErr w:type="spellEnd"/>
          </w:p>
        </w:tc>
        <w:tc>
          <w:tcPr>
            <w:tcW w:w="1134" w:type="dxa"/>
            <w:tcBorders>
              <w:left w:val="nil"/>
              <w:bottom w:val="single" w:sz="4" w:space="0" w:color="auto"/>
              <w:right w:val="nil"/>
            </w:tcBorders>
            <w:shd w:val="clear" w:color="auto" w:fill="auto"/>
            <w:vAlign w:val="center"/>
          </w:tcPr>
          <w:p w14:paraId="5DECD1D9" w14:textId="77777777" w:rsidR="00DC5ED8" w:rsidRPr="00010398" w:rsidRDefault="00DC5ED8" w:rsidP="00400C6A">
            <w:pPr>
              <w:ind w:right="-2"/>
              <w:jc w:val="right"/>
              <w:rPr>
                <w:sz w:val="16"/>
                <w:szCs w:val="16"/>
              </w:rPr>
            </w:pPr>
            <w:proofErr w:type="spellStart"/>
            <w:r w:rsidRPr="00010398">
              <w:rPr>
                <w:sz w:val="16"/>
                <w:szCs w:val="16"/>
              </w:rPr>
              <w:t>Montres</w:t>
            </w:r>
            <w:proofErr w:type="spellEnd"/>
            <w:r w:rsidRPr="00010398">
              <w:rPr>
                <w:sz w:val="16"/>
                <w:szCs w:val="16"/>
              </w:rPr>
              <w:t xml:space="preserve"> et </w:t>
            </w:r>
            <w:proofErr w:type="spellStart"/>
            <w:r w:rsidRPr="00010398">
              <w:rPr>
                <w:sz w:val="16"/>
                <w:szCs w:val="16"/>
              </w:rPr>
              <w:t>Joaillerie</w:t>
            </w:r>
            <w:proofErr w:type="spellEnd"/>
          </w:p>
        </w:tc>
        <w:tc>
          <w:tcPr>
            <w:tcW w:w="1134" w:type="dxa"/>
            <w:tcBorders>
              <w:left w:val="nil"/>
              <w:bottom w:val="single" w:sz="4" w:space="0" w:color="auto"/>
              <w:right w:val="nil"/>
            </w:tcBorders>
            <w:shd w:val="clear" w:color="auto" w:fill="auto"/>
            <w:vAlign w:val="center"/>
          </w:tcPr>
          <w:p w14:paraId="613B5E07" w14:textId="77777777" w:rsidR="00DC5ED8" w:rsidRPr="00010398" w:rsidRDefault="00DC5ED8" w:rsidP="00400C6A">
            <w:pPr>
              <w:ind w:right="-2"/>
              <w:jc w:val="right"/>
              <w:rPr>
                <w:sz w:val="16"/>
                <w:szCs w:val="16"/>
              </w:rPr>
            </w:pPr>
            <w:r w:rsidRPr="00010398">
              <w:rPr>
                <w:sz w:val="16"/>
                <w:szCs w:val="16"/>
              </w:rPr>
              <w:t xml:space="preserve">Distribution </w:t>
            </w:r>
            <w:proofErr w:type="spellStart"/>
            <w:r>
              <w:rPr>
                <w:sz w:val="16"/>
                <w:szCs w:val="16"/>
              </w:rPr>
              <w:t>sélective</w:t>
            </w:r>
            <w:proofErr w:type="spellEnd"/>
          </w:p>
        </w:tc>
        <w:tc>
          <w:tcPr>
            <w:tcW w:w="1134" w:type="dxa"/>
            <w:tcBorders>
              <w:left w:val="nil"/>
              <w:bottom w:val="single" w:sz="4" w:space="0" w:color="auto"/>
              <w:right w:val="nil"/>
            </w:tcBorders>
            <w:shd w:val="clear" w:color="auto" w:fill="auto"/>
            <w:vAlign w:val="center"/>
          </w:tcPr>
          <w:p w14:paraId="3D931779" w14:textId="77777777" w:rsidR="00DC5ED8" w:rsidRPr="00010398" w:rsidRDefault="00DC5ED8" w:rsidP="00400C6A">
            <w:pPr>
              <w:ind w:right="-2"/>
              <w:jc w:val="right"/>
              <w:rPr>
                <w:sz w:val="16"/>
                <w:szCs w:val="16"/>
              </w:rPr>
            </w:pPr>
            <w:proofErr w:type="spellStart"/>
            <w:r w:rsidRPr="00010398">
              <w:rPr>
                <w:sz w:val="16"/>
                <w:szCs w:val="16"/>
              </w:rPr>
              <w:t>Autres</w:t>
            </w:r>
            <w:proofErr w:type="spellEnd"/>
            <w:r w:rsidRPr="00010398">
              <w:rPr>
                <w:sz w:val="16"/>
                <w:szCs w:val="16"/>
              </w:rPr>
              <w:t xml:space="preserve"> </w:t>
            </w:r>
            <w:proofErr w:type="spellStart"/>
            <w:r w:rsidRPr="00010398">
              <w:rPr>
                <w:sz w:val="16"/>
                <w:szCs w:val="16"/>
              </w:rPr>
              <w:t>activités</w:t>
            </w:r>
            <w:proofErr w:type="spellEnd"/>
            <w:r w:rsidRPr="00010398">
              <w:rPr>
                <w:sz w:val="16"/>
                <w:szCs w:val="16"/>
              </w:rPr>
              <w:t xml:space="preserve"> </w:t>
            </w:r>
            <w:r w:rsidRPr="00010398">
              <w:rPr>
                <w:sz w:val="16"/>
                <w:szCs w:val="16"/>
              </w:rPr>
              <w:br/>
              <w:t xml:space="preserve">et </w:t>
            </w:r>
            <w:proofErr w:type="spellStart"/>
            <w:r w:rsidRPr="00010398">
              <w:rPr>
                <w:sz w:val="16"/>
                <w:szCs w:val="16"/>
              </w:rPr>
              <w:t>éliminations</w:t>
            </w:r>
            <w:proofErr w:type="spellEnd"/>
          </w:p>
        </w:tc>
        <w:tc>
          <w:tcPr>
            <w:tcW w:w="992" w:type="dxa"/>
            <w:tcBorders>
              <w:left w:val="nil"/>
              <w:bottom w:val="single" w:sz="4" w:space="0" w:color="auto"/>
              <w:right w:val="nil"/>
            </w:tcBorders>
            <w:shd w:val="clear" w:color="auto" w:fill="auto"/>
            <w:vAlign w:val="center"/>
          </w:tcPr>
          <w:p w14:paraId="4EF84A22" w14:textId="77777777" w:rsidR="00DC5ED8" w:rsidRPr="00010398" w:rsidRDefault="00DC5ED8" w:rsidP="00B77EE8">
            <w:pPr>
              <w:ind w:right="-34"/>
              <w:jc w:val="right"/>
              <w:rPr>
                <w:b/>
                <w:sz w:val="16"/>
                <w:szCs w:val="16"/>
              </w:rPr>
            </w:pPr>
            <w:r w:rsidRPr="00010398">
              <w:rPr>
                <w:b/>
                <w:sz w:val="16"/>
                <w:szCs w:val="16"/>
              </w:rPr>
              <w:t>Total</w:t>
            </w:r>
          </w:p>
        </w:tc>
      </w:tr>
      <w:tr w:rsidR="00DC5ED8" w:rsidRPr="00010398" w14:paraId="6BA3D4AA" w14:textId="77777777" w:rsidTr="00400C6A">
        <w:trPr>
          <w:trHeight w:val="284"/>
        </w:trPr>
        <w:tc>
          <w:tcPr>
            <w:tcW w:w="1588" w:type="dxa"/>
            <w:tcBorders>
              <w:left w:val="nil"/>
              <w:bottom w:val="nil"/>
              <w:right w:val="nil"/>
            </w:tcBorders>
            <w:shd w:val="clear" w:color="auto" w:fill="auto"/>
            <w:vAlign w:val="center"/>
          </w:tcPr>
          <w:p w14:paraId="209D6787" w14:textId="77777777" w:rsidR="00DC5ED8" w:rsidRPr="00010398" w:rsidRDefault="00DC5ED8" w:rsidP="00400C6A">
            <w:pPr>
              <w:ind w:right="-2"/>
              <w:rPr>
                <w:sz w:val="16"/>
                <w:szCs w:val="16"/>
              </w:rPr>
            </w:pPr>
            <w:r w:rsidRPr="00010398">
              <w:rPr>
                <w:sz w:val="16"/>
                <w:szCs w:val="16"/>
              </w:rPr>
              <w:t xml:space="preserve">Premier </w:t>
            </w:r>
            <w:proofErr w:type="spellStart"/>
            <w:r w:rsidRPr="00010398">
              <w:rPr>
                <w:sz w:val="16"/>
                <w:szCs w:val="16"/>
              </w:rPr>
              <w:t>trimestre</w:t>
            </w:r>
            <w:proofErr w:type="spellEnd"/>
            <w:r w:rsidRPr="00010398">
              <w:rPr>
                <w:sz w:val="16"/>
                <w:szCs w:val="16"/>
              </w:rPr>
              <w:t xml:space="preserve"> </w:t>
            </w:r>
          </w:p>
        </w:tc>
        <w:tc>
          <w:tcPr>
            <w:tcW w:w="992" w:type="dxa"/>
            <w:tcBorders>
              <w:left w:val="nil"/>
              <w:bottom w:val="nil"/>
              <w:right w:val="nil"/>
            </w:tcBorders>
            <w:shd w:val="clear" w:color="auto" w:fill="auto"/>
            <w:vAlign w:val="center"/>
          </w:tcPr>
          <w:p w14:paraId="51995B51" w14:textId="77777777" w:rsidR="00DC5ED8" w:rsidRPr="00010398" w:rsidRDefault="00B67A5B" w:rsidP="00400C6A">
            <w:pPr>
              <w:ind w:right="-2"/>
              <w:jc w:val="right"/>
              <w:rPr>
                <w:sz w:val="16"/>
                <w:szCs w:val="16"/>
              </w:rPr>
            </w:pPr>
            <w:r>
              <w:rPr>
                <w:sz w:val="16"/>
                <w:szCs w:val="16"/>
              </w:rPr>
              <w:t>1 6</w:t>
            </w:r>
            <w:r w:rsidR="00906D9C">
              <w:rPr>
                <w:sz w:val="16"/>
                <w:szCs w:val="16"/>
              </w:rPr>
              <w:t>94</w:t>
            </w:r>
          </w:p>
        </w:tc>
        <w:tc>
          <w:tcPr>
            <w:tcW w:w="1134" w:type="dxa"/>
            <w:tcBorders>
              <w:left w:val="nil"/>
              <w:bottom w:val="nil"/>
              <w:right w:val="nil"/>
            </w:tcBorders>
            <w:shd w:val="clear" w:color="auto" w:fill="auto"/>
            <w:vAlign w:val="center"/>
          </w:tcPr>
          <w:p w14:paraId="035111E3" w14:textId="77777777" w:rsidR="00DC5ED8" w:rsidRPr="00010398" w:rsidRDefault="00906D9C" w:rsidP="00400C6A">
            <w:pPr>
              <w:ind w:right="-2"/>
              <w:jc w:val="right"/>
              <w:rPr>
                <w:sz w:val="16"/>
                <w:szCs w:val="16"/>
              </w:rPr>
            </w:pPr>
            <w:r>
              <w:rPr>
                <w:sz w:val="16"/>
                <w:szCs w:val="16"/>
              </w:rPr>
              <w:t>10</w:t>
            </w:r>
            <w:r w:rsidR="00DC5ED8">
              <w:rPr>
                <w:sz w:val="16"/>
                <w:szCs w:val="16"/>
              </w:rPr>
              <w:t xml:space="preserve"> </w:t>
            </w:r>
            <w:r>
              <w:rPr>
                <w:sz w:val="16"/>
                <w:szCs w:val="16"/>
              </w:rPr>
              <w:t>728</w:t>
            </w:r>
          </w:p>
        </w:tc>
        <w:tc>
          <w:tcPr>
            <w:tcW w:w="1134" w:type="dxa"/>
            <w:tcBorders>
              <w:left w:val="nil"/>
              <w:bottom w:val="nil"/>
              <w:right w:val="nil"/>
            </w:tcBorders>
            <w:shd w:val="clear" w:color="auto" w:fill="auto"/>
            <w:vAlign w:val="center"/>
          </w:tcPr>
          <w:p w14:paraId="5827F4AD" w14:textId="77777777" w:rsidR="00DC5ED8" w:rsidRPr="00010398" w:rsidRDefault="00906D9C" w:rsidP="00400C6A">
            <w:pPr>
              <w:ind w:right="-2"/>
              <w:jc w:val="right"/>
              <w:rPr>
                <w:sz w:val="16"/>
                <w:szCs w:val="16"/>
              </w:rPr>
            </w:pPr>
            <w:r>
              <w:rPr>
                <w:sz w:val="16"/>
                <w:szCs w:val="16"/>
              </w:rPr>
              <w:t>2 115</w:t>
            </w:r>
          </w:p>
        </w:tc>
        <w:tc>
          <w:tcPr>
            <w:tcW w:w="1134" w:type="dxa"/>
            <w:tcBorders>
              <w:left w:val="nil"/>
              <w:bottom w:val="nil"/>
              <w:right w:val="nil"/>
            </w:tcBorders>
            <w:shd w:val="clear" w:color="auto" w:fill="auto"/>
            <w:vAlign w:val="center"/>
          </w:tcPr>
          <w:p w14:paraId="0FE26812" w14:textId="77777777" w:rsidR="00DC5ED8" w:rsidRPr="00010398" w:rsidRDefault="00B67A5B" w:rsidP="00400C6A">
            <w:pPr>
              <w:ind w:right="-2"/>
              <w:jc w:val="right"/>
              <w:rPr>
                <w:sz w:val="16"/>
                <w:szCs w:val="16"/>
              </w:rPr>
            </w:pPr>
            <w:r>
              <w:rPr>
                <w:sz w:val="16"/>
                <w:szCs w:val="16"/>
              </w:rPr>
              <w:t xml:space="preserve">2 </w:t>
            </w:r>
            <w:r w:rsidR="00906D9C">
              <w:rPr>
                <w:sz w:val="16"/>
                <w:szCs w:val="16"/>
              </w:rPr>
              <w:t>589</w:t>
            </w:r>
          </w:p>
        </w:tc>
        <w:tc>
          <w:tcPr>
            <w:tcW w:w="1134" w:type="dxa"/>
            <w:tcBorders>
              <w:left w:val="nil"/>
              <w:bottom w:val="nil"/>
              <w:right w:val="nil"/>
            </w:tcBorders>
            <w:shd w:val="clear" w:color="auto" w:fill="auto"/>
            <w:vAlign w:val="center"/>
          </w:tcPr>
          <w:p w14:paraId="7BBF2F23" w14:textId="77777777" w:rsidR="00DC5ED8" w:rsidRPr="00010398" w:rsidRDefault="00B67A5B" w:rsidP="00400C6A">
            <w:pPr>
              <w:ind w:right="-2"/>
              <w:jc w:val="right"/>
              <w:rPr>
                <w:sz w:val="16"/>
                <w:szCs w:val="16"/>
              </w:rPr>
            </w:pPr>
            <w:r>
              <w:rPr>
                <w:sz w:val="16"/>
                <w:szCs w:val="16"/>
              </w:rPr>
              <w:t xml:space="preserve">3 </w:t>
            </w:r>
            <w:r w:rsidR="00906D9C">
              <w:rPr>
                <w:sz w:val="16"/>
                <w:szCs w:val="16"/>
              </w:rPr>
              <w:t>961</w:t>
            </w:r>
          </w:p>
        </w:tc>
        <w:tc>
          <w:tcPr>
            <w:tcW w:w="1134" w:type="dxa"/>
            <w:tcBorders>
              <w:left w:val="nil"/>
              <w:bottom w:val="nil"/>
              <w:right w:val="nil"/>
            </w:tcBorders>
            <w:shd w:val="clear" w:color="auto" w:fill="auto"/>
            <w:vAlign w:val="center"/>
          </w:tcPr>
          <w:p w14:paraId="70803F2F" w14:textId="77777777" w:rsidR="00DC5ED8" w:rsidRPr="00010398" w:rsidRDefault="00DC5ED8" w:rsidP="00400C6A">
            <w:pPr>
              <w:ind w:right="-2"/>
              <w:jc w:val="right"/>
              <w:rPr>
                <w:sz w:val="16"/>
                <w:szCs w:val="16"/>
              </w:rPr>
            </w:pPr>
            <w:r>
              <w:rPr>
                <w:sz w:val="16"/>
                <w:szCs w:val="16"/>
              </w:rPr>
              <w:t>(</w:t>
            </w:r>
            <w:r w:rsidR="00906D9C">
              <w:rPr>
                <w:sz w:val="16"/>
                <w:szCs w:val="16"/>
              </w:rPr>
              <w:t>52</w:t>
            </w:r>
            <w:r>
              <w:rPr>
                <w:sz w:val="16"/>
                <w:szCs w:val="16"/>
              </w:rPr>
              <w:t>)</w:t>
            </w:r>
          </w:p>
        </w:tc>
        <w:tc>
          <w:tcPr>
            <w:tcW w:w="992" w:type="dxa"/>
            <w:tcBorders>
              <w:left w:val="nil"/>
              <w:bottom w:val="nil"/>
              <w:right w:val="nil"/>
            </w:tcBorders>
            <w:shd w:val="clear" w:color="auto" w:fill="auto"/>
            <w:vAlign w:val="center"/>
          </w:tcPr>
          <w:p w14:paraId="0304D674" w14:textId="77777777" w:rsidR="00DC5ED8" w:rsidRPr="00010398" w:rsidRDefault="00906D9C" w:rsidP="00B77EE8">
            <w:pPr>
              <w:ind w:right="-34"/>
              <w:jc w:val="right"/>
              <w:rPr>
                <w:b/>
                <w:sz w:val="16"/>
                <w:szCs w:val="16"/>
              </w:rPr>
            </w:pPr>
            <w:r>
              <w:rPr>
                <w:b/>
                <w:sz w:val="16"/>
                <w:szCs w:val="16"/>
              </w:rPr>
              <w:t>21</w:t>
            </w:r>
            <w:r w:rsidR="00DC5ED8">
              <w:rPr>
                <w:b/>
                <w:sz w:val="16"/>
                <w:szCs w:val="16"/>
              </w:rPr>
              <w:t xml:space="preserve"> </w:t>
            </w:r>
            <w:r w:rsidR="00B67A5B">
              <w:rPr>
                <w:b/>
                <w:sz w:val="16"/>
                <w:szCs w:val="16"/>
              </w:rPr>
              <w:t>03</w:t>
            </w:r>
            <w:r>
              <w:rPr>
                <w:b/>
                <w:sz w:val="16"/>
                <w:szCs w:val="16"/>
              </w:rPr>
              <w:t>5</w:t>
            </w:r>
          </w:p>
        </w:tc>
      </w:tr>
      <w:tr w:rsidR="00DC5ED8" w:rsidRPr="00010398" w14:paraId="4A8E8B50" w14:textId="77777777" w:rsidTr="00400C6A">
        <w:trPr>
          <w:trHeight w:val="284"/>
        </w:trPr>
        <w:tc>
          <w:tcPr>
            <w:tcW w:w="1588" w:type="dxa"/>
            <w:tcBorders>
              <w:top w:val="nil"/>
              <w:left w:val="nil"/>
              <w:bottom w:val="single" w:sz="4" w:space="0" w:color="auto"/>
              <w:right w:val="nil"/>
            </w:tcBorders>
            <w:shd w:val="clear" w:color="auto" w:fill="auto"/>
            <w:vAlign w:val="center"/>
          </w:tcPr>
          <w:p w14:paraId="07226444" w14:textId="77777777" w:rsidR="00DC5ED8" w:rsidRPr="00010398" w:rsidRDefault="00DC5ED8" w:rsidP="00400C6A">
            <w:pPr>
              <w:ind w:right="-2"/>
              <w:rPr>
                <w:sz w:val="16"/>
                <w:szCs w:val="16"/>
              </w:rPr>
            </w:pPr>
            <w:proofErr w:type="spellStart"/>
            <w:r w:rsidRPr="00010398">
              <w:rPr>
                <w:sz w:val="16"/>
                <w:szCs w:val="16"/>
              </w:rPr>
              <w:t>Deuxième</w:t>
            </w:r>
            <w:proofErr w:type="spellEnd"/>
            <w:r w:rsidRPr="00010398">
              <w:rPr>
                <w:sz w:val="16"/>
                <w:szCs w:val="16"/>
              </w:rPr>
              <w:t xml:space="preserve"> </w:t>
            </w:r>
            <w:proofErr w:type="spellStart"/>
            <w:r w:rsidRPr="00010398">
              <w:rPr>
                <w:sz w:val="16"/>
                <w:szCs w:val="16"/>
              </w:rPr>
              <w:t>trimestre</w:t>
            </w:r>
            <w:proofErr w:type="spellEnd"/>
          </w:p>
        </w:tc>
        <w:tc>
          <w:tcPr>
            <w:tcW w:w="992" w:type="dxa"/>
            <w:tcBorders>
              <w:top w:val="nil"/>
              <w:left w:val="nil"/>
              <w:bottom w:val="single" w:sz="4" w:space="0" w:color="auto"/>
              <w:right w:val="nil"/>
            </w:tcBorders>
            <w:shd w:val="clear" w:color="auto" w:fill="auto"/>
            <w:vAlign w:val="center"/>
          </w:tcPr>
          <w:p w14:paraId="4D6D3B7A" w14:textId="77777777" w:rsidR="00DC5ED8" w:rsidRPr="00A936AC" w:rsidRDefault="00291F2A" w:rsidP="00400C6A">
            <w:pPr>
              <w:ind w:right="-2"/>
              <w:jc w:val="right"/>
              <w:rPr>
                <w:sz w:val="16"/>
                <w:szCs w:val="16"/>
              </w:rPr>
            </w:pPr>
            <w:r>
              <w:rPr>
                <w:sz w:val="16"/>
                <w:szCs w:val="16"/>
              </w:rPr>
              <w:t>1 486</w:t>
            </w:r>
          </w:p>
        </w:tc>
        <w:tc>
          <w:tcPr>
            <w:tcW w:w="1134" w:type="dxa"/>
            <w:tcBorders>
              <w:top w:val="nil"/>
              <w:left w:val="nil"/>
              <w:bottom w:val="single" w:sz="4" w:space="0" w:color="auto"/>
              <w:right w:val="nil"/>
            </w:tcBorders>
            <w:shd w:val="clear" w:color="auto" w:fill="auto"/>
            <w:vAlign w:val="center"/>
          </w:tcPr>
          <w:p w14:paraId="728F88B1" w14:textId="77777777" w:rsidR="00DC5ED8" w:rsidRPr="00A936AC" w:rsidRDefault="00291F2A" w:rsidP="00400C6A">
            <w:pPr>
              <w:ind w:right="-2"/>
              <w:jc w:val="right"/>
              <w:rPr>
                <w:sz w:val="16"/>
                <w:szCs w:val="16"/>
              </w:rPr>
            </w:pPr>
            <w:r>
              <w:rPr>
                <w:sz w:val="16"/>
                <w:szCs w:val="16"/>
              </w:rPr>
              <w:t>10 434</w:t>
            </w:r>
          </w:p>
        </w:tc>
        <w:tc>
          <w:tcPr>
            <w:tcW w:w="1134" w:type="dxa"/>
            <w:tcBorders>
              <w:top w:val="nil"/>
              <w:left w:val="nil"/>
              <w:bottom w:val="single" w:sz="4" w:space="0" w:color="auto"/>
              <w:right w:val="nil"/>
            </w:tcBorders>
            <w:shd w:val="clear" w:color="auto" w:fill="auto"/>
            <w:vAlign w:val="center"/>
          </w:tcPr>
          <w:p w14:paraId="077BD22F" w14:textId="77777777" w:rsidR="00DC5ED8" w:rsidRPr="009C585E" w:rsidRDefault="00291F2A" w:rsidP="00400C6A">
            <w:pPr>
              <w:ind w:right="-2"/>
              <w:jc w:val="right"/>
              <w:rPr>
                <w:sz w:val="16"/>
                <w:szCs w:val="16"/>
              </w:rPr>
            </w:pPr>
            <w:r>
              <w:rPr>
                <w:sz w:val="16"/>
                <w:szCs w:val="16"/>
              </w:rPr>
              <w:t>1 913</w:t>
            </w:r>
          </w:p>
        </w:tc>
        <w:tc>
          <w:tcPr>
            <w:tcW w:w="1134" w:type="dxa"/>
            <w:tcBorders>
              <w:top w:val="nil"/>
              <w:left w:val="nil"/>
              <w:bottom w:val="single" w:sz="4" w:space="0" w:color="auto"/>
              <w:right w:val="nil"/>
            </w:tcBorders>
            <w:shd w:val="clear" w:color="auto" w:fill="auto"/>
            <w:vAlign w:val="center"/>
          </w:tcPr>
          <w:p w14:paraId="343B0D7F" w14:textId="77777777" w:rsidR="00DC5ED8" w:rsidRPr="009C585E" w:rsidRDefault="00291F2A" w:rsidP="00400C6A">
            <w:pPr>
              <w:ind w:right="-2"/>
              <w:jc w:val="right"/>
              <w:rPr>
                <w:sz w:val="16"/>
                <w:szCs w:val="16"/>
              </w:rPr>
            </w:pPr>
            <w:r>
              <w:rPr>
                <w:sz w:val="16"/>
                <w:szCs w:val="16"/>
              </w:rPr>
              <w:t>2 839</w:t>
            </w:r>
          </w:p>
        </w:tc>
        <w:tc>
          <w:tcPr>
            <w:tcW w:w="1134" w:type="dxa"/>
            <w:tcBorders>
              <w:top w:val="nil"/>
              <w:left w:val="nil"/>
              <w:bottom w:val="single" w:sz="4" w:space="0" w:color="auto"/>
              <w:right w:val="nil"/>
            </w:tcBorders>
            <w:shd w:val="clear" w:color="auto" w:fill="auto"/>
            <w:vAlign w:val="center"/>
          </w:tcPr>
          <w:p w14:paraId="5881925C" w14:textId="77777777" w:rsidR="00DC5ED8" w:rsidRPr="00A936AC" w:rsidRDefault="00291F2A" w:rsidP="00400C6A">
            <w:pPr>
              <w:ind w:right="-2"/>
              <w:jc w:val="right"/>
              <w:rPr>
                <w:sz w:val="16"/>
                <w:szCs w:val="16"/>
              </w:rPr>
            </w:pPr>
            <w:r>
              <w:rPr>
                <w:sz w:val="16"/>
                <w:szCs w:val="16"/>
              </w:rPr>
              <w:t>4 394</w:t>
            </w:r>
          </w:p>
        </w:tc>
        <w:tc>
          <w:tcPr>
            <w:tcW w:w="1134" w:type="dxa"/>
            <w:tcBorders>
              <w:top w:val="nil"/>
              <w:left w:val="nil"/>
              <w:bottom w:val="single" w:sz="4" w:space="0" w:color="auto"/>
              <w:right w:val="nil"/>
            </w:tcBorders>
            <w:shd w:val="clear" w:color="auto" w:fill="auto"/>
            <w:vAlign w:val="center"/>
          </w:tcPr>
          <w:p w14:paraId="7DD8A95C" w14:textId="77777777" w:rsidR="00DC5ED8" w:rsidRPr="00A936AC" w:rsidRDefault="00291F2A" w:rsidP="00400C6A">
            <w:pPr>
              <w:ind w:right="-2"/>
              <w:jc w:val="right"/>
              <w:rPr>
                <w:sz w:val="16"/>
                <w:szCs w:val="16"/>
              </w:rPr>
            </w:pPr>
            <w:r>
              <w:rPr>
                <w:sz w:val="16"/>
                <w:szCs w:val="16"/>
              </w:rPr>
              <w:t>140</w:t>
            </w:r>
          </w:p>
        </w:tc>
        <w:tc>
          <w:tcPr>
            <w:tcW w:w="992" w:type="dxa"/>
            <w:tcBorders>
              <w:top w:val="nil"/>
              <w:left w:val="nil"/>
              <w:bottom w:val="single" w:sz="4" w:space="0" w:color="auto"/>
              <w:right w:val="nil"/>
            </w:tcBorders>
            <w:shd w:val="clear" w:color="auto" w:fill="auto"/>
            <w:vAlign w:val="center"/>
          </w:tcPr>
          <w:p w14:paraId="7BE63BBC" w14:textId="77777777" w:rsidR="00DC5ED8" w:rsidRPr="00010398" w:rsidRDefault="00291F2A" w:rsidP="00B77EE8">
            <w:pPr>
              <w:ind w:right="-34"/>
              <w:jc w:val="right"/>
              <w:rPr>
                <w:b/>
                <w:sz w:val="16"/>
                <w:szCs w:val="16"/>
              </w:rPr>
            </w:pPr>
            <w:r>
              <w:rPr>
                <w:b/>
                <w:sz w:val="16"/>
                <w:szCs w:val="16"/>
              </w:rPr>
              <w:t>21 206</w:t>
            </w:r>
          </w:p>
        </w:tc>
      </w:tr>
      <w:tr w:rsidR="00DC5ED8" w:rsidRPr="00010398" w14:paraId="6AC8F17C" w14:textId="77777777" w:rsidTr="00400C6A">
        <w:trPr>
          <w:trHeight w:val="284"/>
        </w:trPr>
        <w:tc>
          <w:tcPr>
            <w:tcW w:w="1588" w:type="dxa"/>
            <w:tcBorders>
              <w:top w:val="single" w:sz="4" w:space="0" w:color="auto"/>
              <w:left w:val="nil"/>
              <w:bottom w:val="single" w:sz="4" w:space="0" w:color="auto"/>
              <w:right w:val="nil"/>
            </w:tcBorders>
            <w:shd w:val="clear" w:color="auto" w:fill="auto"/>
            <w:vAlign w:val="center"/>
          </w:tcPr>
          <w:p w14:paraId="59836B2E" w14:textId="77777777" w:rsidR="00DC5ED8" w:rsidRPr="00010398" w:rsidRDefault="00DC5ED8" w:rsidP="00400C6A">
            <w:pPr>
              <w:ind w:right="-2"/>
              <w:rPr>
                <w:b/>
                <w:sz w:val="16"/>
                <w:szCs w:val="16"/>
              </w:rPr>
            </w:pPr>
            <w:r w:rsidRPr="00010398">
              <w:rPr>
                <w:b/>
                <w:sz w:val="16"/>
                <w:szCs w:val="16"/>
              </w:rPr>
              <w:t xml:space="preserve">Premier </w:t>
            </w:r>
            <w:proofErr w:type="spellStart"/>
            <w:r w:rsidRPr="00010398">
              <w:rPr>
                <w:b/>
                <w:sz w:val="16"/>
                <w:szCs w:val="16"/>
              </w:rPr>
              <w:t>semestre</w:t>
            </w:r>
            <w:proofErr w:type="spellEnd"/>
          </w:p>
        </w:tc>
        <w:tc>
          <w:tcPr>
            <w:tcW w:w="992" w:type="dxa"/>
            <w:tcBorders>
              <w:top w:val="single" w:sz="4" w:space="0" w:color="auto"/>
              <w:left w:val="nil"/>
              <w:bottom w:val="single" w:sz="4" w:space="0" w:color="auto"/>
              <w:right w:val="nil"/>
            </w:tcBorders>
            <w:shd w:val="clear" w:color="auto" w:fill="auto"/>
            <w:vAlign w:val="center"/>
          </w:tcPr>
          <w:p w14:paraId="21B3ABDD" w14:textId="77777777" w:rsidR="00DC5ED8" w:rsidRPr="00965B8B" w:rsidRDefault="00291F2A" w:rsidP="00400C6A">
            <w:pPr>
              <w:ind w:right="-2"/>
              <w:jc w:val="right"/>
              <w:rPr>
                <w:b/>
                <w:sz w:val="16"/>
                <w:szCs w:val="16"/>
              </w:rPr>
            </w:pPr>
            <w:r>
              <w:rPr>
                <w:b/>
                <w:sz w:val="16"/>
                <w:szCs w:val="16"/>
              </w:rPr>
              <w:t>3 18</w:t>
            </w:r>
            <w:r w:rsidR="007B3226">
              <w:rPr>
                <w:b/>
                <w:sz w:val="16"/>
                <w:szCs w:val="16"/>
              </w:rPr>
              <w:t>1</w:t>
            </w:r>
          </w:p>
        </w:tc>
        <w:tc>
          <w:tcPr>
            <w:tcW w:w="1134" w:type="dxa"/>
            <w:tcBorders>
              <w:top w:val="single" w:sz="4" w:space="0" w:color="auto"/>
              <w:left w:val="nil"/>
              <w:bottom w:val="single" w:sz="4" w:space="0" w:color="auto"/>
              <w:right w:val="nil"/>
            </w:tcBorders>
            <w:shd w:val="clear" w:color="auto" w:fill="auto"/>
            <w:vAlign w:val="center"/>
          </w:tcPr>
          <w:p w14:paraId="04D50332" w14:textId="77777777" w:rsidR="00DC5ED8" w:rsidRPr="00965B8B" w:rsidRDefault="00291F2A" w:rsidP="00400C6A">
            <w:pPr>
              <w:ind w:right="-2"/>
              <w:jc w:val="right"/>
              <w:rPr>
                <w:b/>
                <w:sz w:val="16"/>
                <w:szCs w:val="16"/>
              </w:rPr>
            </w:pPr>
            <w:r>
              <w:rPr>
                <w:b/>
                <w:sz w:val="16"/>
                <w:szCs w:val="16"/>
              </w:rPr>
              <w:t>21 162</w:t>
            </w:r>
          </w:p>
        </w:tc>
        <w:tc>
          <w:tcPr>
            <w:tcW w:w="1134" w:type="dxa"/>
            <w:tcBorders>
              <w:top w:val="single" w:sz="4" w:space="0" w:color="auto"/>
              <w:left w:val="nil"/>
              <w:bottom w:val="single" w:sz="4" w:space="0" w:color="auto"/>
              <w:right w:val="nil"/>
            </w:tcBorders>
            <w:shd w:val="clear" w:color="auto" w:fill="auto"/>
            <w:vAlign w:val="center"/>
          </w:tcPr>
          <w:p w14:paraId="7AE85AB2" w14:textId="77777777" w:rsidR="00DC5ED8" w:rsidRPr="00965B8B" w:rsidRDefault="00291F2A" w:rsidP="00400C6A">
            <w:pPr>
              <w:ind w:right="-2"/>
              <w:jc w:val="right"/>
              <w:rPr>
                <w:b/>
                <w:sz w:val="16"/>
                <w:szCs w:val="16"/>
              </w:rPr>
            </w:pPr>
            <w:r>
              <w:rPr>
                <w:b/>
                <w:sz w:val="16"/>
                <w:szCs w:val="16"/>
              </w:rPr>
              <w:t>4 028</w:t>
            </w:r>
          </w:p>
        </w:tc>
        <w:tc>
          <w:tcPr>
            <w:tcW w:w="1134" w:type="dxa"/>
            <w:tcBorders>
              <w:top w:val="single" w:sz="4" w:space="0" w:color="auto"/>
              <w:left w:val="nil"/>
              <w:bottom w:val="single" w:sz="4" w:space="0" w:color="auto"/>
              <w:right w:val="nil"/>
            </w:tcBorders>
            <w:shd w:val="clear" w:color="auto" w:fill="auto"/>
            <w:vAlign w:val="center"/>
          </w:tcPr>
          <w:p w14:paraId="3EEC4E15" w14:textId="77777777" w:rsidR="00DC5ED8" w:rsidRPr="00965B8B" w:rsidRDefault="00291F2A" w:rsidP="00400C6A">
            <w:pPr>
              <w:ind w:right="-2"/>
              <w:jc w:val="right"/>
              <w:rPr>
                <w:b/>
                <w:sz w:val="16"/>
                <w:szCs w:val="16"/>
              </w:rPr>
            </w:pPr>
            <w:r>
              <w:rPr>
                <w:b/>
                <w:sz w:val="16"/>
                <w:szCs w:val="16"/>
              </w:rPr>
              <w:t>5 427</w:t>
            </w:r>
          </w:p>
        </w:tc>
        <w:tc>
          <w:tcPr>
            <w:tcW w:w="1134" w:type="dxa"/>
            <w:tcBorders>
              <w:top w:val="single" w:sz="4" w:space="0" w:color="auto"/>
              <w:left w:val="nil"/>
              <w:bottom w:val="single" w:sz="4" w:space="0" w:color="auto"/>
              <w:right w:val="nil"/>
            </w:tcBorders>
            <w:shd w:val="clear" w:color="auto" w:fill="auto"/>
            <w:vAlign w:val="center"/>
          </w:tcPr>
          <w:p w14:paraId="0A7C595E" w14:textId="77777777" w:rsidR="00DC5ED8" w:rsidRPr="00965B8B" w:rsidRDefault="00291F2A" w:rsidP="00400C6A">
            <w:pPr>
              <w:ind w:right="-2"/>
              <w:jc w:val="right"/>
              <w:rPr>
                <w:b/>
                <w:sz w:val="16"/>
                <w:szCs w:val="16"/>
              </w:rPr>
            </w:pPr>
            <w:r>
              <w:rPr>
                <w:b/>
                <w:sz w:val="16"/>
                <w:szCs w:val="16"/>
              </w:rPr>
              <w:t>8 355</w:t>
            </w:r>
          </w:p>
        </w:tc>
        <w:tc>
          <w:tcPr>
            <w:tcW w:w="1134" w:type="dxa"/>
            <w:tcBorders>
              <w:top w:val="single" w:sz="4" w:space="0" w:color="auto"/>
              <w:left w:val="nil"/>
              <w:bottom w:val="single" w:sz="4" w:space="0" w:color="auto"/>
              <w:right w:val="nil"/>
            </w:tcBorders>
            <w:shd w:val="clear" w:color="auto" w:fill="auto"/>
            <w:vAlign w:val="center"/>
          </w:tcPr>
          <w:p w14:paraId="5F7D278A" w14:textId="77777777" w:rsidR="00DC5ED8" w:rsidRPr="00965B8B" w:rsidRDefault="00291F2A" w:rsidP="00400C6A">
            <w:pPr>
              <w:ind w:right="-2"/>
              <w:jc w:val="right"/>
              <w:rPr>
                <w:b/>
                <w:sz w:val="16"/>
                <w:szCs w:val="16"/>
              </w:rPr>
            </w:pPr>
            <w:r>
              <w:rPr>
                <w:b/>
                <w:sz w:val="16"/>
                <w:szCs w:val="16"/>
              </w:rPr>
              <w:t>87</w:t>
            </w:r>
          </w:p>
        </w:tc>
        <w:tc>
          <w:tcPr>
            <w:tcW w:w="992" w:type="dxa"/>
            <w:tcBorders>
              <w:top w:val="single" w:sz="4" w:space="0" w:color="auto"/>
              <w:left w:val="nil"/>
              <w:bottom w:val="single" w:sz="4" w:space="0" w:color="auto"/>
              <w:right w:val="nil"/>
            </w:tcBorders>
            <w:shd w:val="clear" w:color="auto" w:fill="auto"/>
            <w:vAlign w:val="center"/>
          </w:tcPr>
          <w:p w14:paraId="5F62C268" w14:textId="77777777" w:rsidR="00DC5ED8" w:rsidRPr="00010398" w:rsidRDefault="00291F2A" w:rsidP="00B77EE8">
            <w:pPr>
              <w:ind w:right="-34"/>
              <w:jc w:val="right"/>
              <w:rPr>
                <w:b/>
                <w:sz w:val="16"/>
                <w:szCs w:val="16"/>
              </w:rPr>
            </w:pPr>
            <w:r>
              <w:rPr>
                <w:b/>
                <w:sz w:val="16"/>
                <w:szCs w:val="16"/>
              </w:rPr>
              <w:t>42 240</w:t>
            </w:r>
          </w:p>
        </w:tc>
      </w:tr>
    </w:tbl>
    <w:p w14:paraId="39E51CDB" w14:textId="77777777" w:rsidR="00DC5ED8" w:rsidRPr="005C09EA" w:rsidRDefault="00DC5ED8" w:rsidP="00DC5ED8">
      <w:pPr>
        <w:pStyle w:val="Corpsdetexte2"/>
        <w:ind w:left="360" w:right="-2" w:hanging="360"/>
        <w:jc w:val="left"/>
        <w:rPr>
          <w:i/>
          <w:sz w:val="16"/>
          <w:szCs w:val="16"/>
        </w:rPr>
      </w:pPr>
    </w:p>
    <w:p w14:paraId="2590CC4F" w14:textId="77777777" w:rsidR="001263FC" w:rsidRPr="00674846" w:rsidRDefault="001263FC" w:rsidP="00AC6EC1">
      <w:pPr>
        <w:ind w:right="-2"/>
        <w:jc w:val="both"/>
        <w:rPr>
          <w:sz w:val="16"/>
          <w:szCs w:val="16"/>
          <w:lang w:val="fr-FR"/>
        </w:rPr>
      </w:pPr>
    </w:p>
    <w:p w14:paraId="3EFAC8DE" w14:textId="77777777" w:rsidR="007870A6" w:rsidRPr="0020320D" w:rsidRDefault="007870A6" w:rsidP="00AC6EC1">
      <w:pPr>
        <w:ind w:right="-2"/>
        <w:jc w:val="both"/>
        <w:rPr>
          <w:b/>
          <w:lang w:val="fr-FR"/>
        </w:rPr>
      </w:pPr>
      <w:r w:rsidRPr="0020320D">
        <w:rPr>
          <w:b/>
          <w:lang w:val="fr-FR"/>
        </w:rPr>
        <w:t>Ventes 20</w:t>
      </w:r>
      <w:r>
        <w:rPr>
          <w:b/>
          <w:lang w:val="fr-FR"/>
        </w:rPr>
        <w:t>2</w:t>
      </w:r>
      <w:r w:rsidR="00906D9C">
        <w:rPr>
          <w:b/>
          <w:lang w:val="fr-FR"/>
        </w:rPr>
        <w:t>3</w:t>
      </w:r>
      <w:r w:rsidRPr="0020320D">
        <w:rPr>
          <w:b/>
          <w:lang w:val="fr-FR"/>
        </w:rPr>
        <w:t xml:space="preserve"> (croissance organique par rapport à la même période de 20</w:t>
      </w:r>
      <w:r>
        <w:rPr>
          <w:b/>
          <w:lang w:val="fr-FR"/>
        </w:rPr>
        <w:t>2</w:t>
      </w:r>
      <w:r w:rsidR="00906D9C">
        <w:rPr>
          <w:b/>
          <w:lang w:val="fr-FR"/>
        </w:rPr>
        <w:t>2</w:t>
      </w:r>
      <w:r w:rsidRPr="0020320D">
        <w:rPr>
          <w:b/>
          <w:lang w:val="fr-FR"/>
        </w:rPr>
        <w:t xml:space="preserve">)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88"/>
        <w:gridCol w:w="992"/>
        <w:gridCol w:w="1134"/>
        <w:gridCol w:w="1134"/>
        <w:gridCol w:w="1134"/>
        <w:gridCol w:w="1134"/>
        <w:gridCol w:w="1134"/>
        <w:gridCol w:w="992"/>
      </w:tblGrid>
      <w:tr w:rsidR="007870A6" w:rsidRPr="00010398" w14:paraId="76EFFFB4" w14:textId="77777777" w:rsidTr="000C78EA">
        <w:trPr>
          <w:trHeight w:val="469"/>
        </w:trPr>
        <w:tc>
          <w:tcPr>
            <w:tcW w:w="1588" w:type="dxa"/>
            <w:tcBorders>
              <w:left w:val="nil"/>
              <w:bottom w:val="single" w:sz="4" w:space="0" w:color="auto"/>
              <w:right w:val="nil"/>
            </w:tcBorders>
            <w:shd w:val="clear" w:color="auto" w:fill="auto"/>
            <w:vAlign w:val="center"/>
          </w:tcPr>
          <w:p w14:paraId="35F8C224" w14:textId="77777777" w:rsidR="007870A6" w:rsidRPr="00010398" w:rsidRDefault="007870A6" w:rsidP="00AC6EC1">
            <w:pPr>
              <w:ind w:right="-2"/>
              <w:rPr>
                <w:i/>
                <w:sz w:val="16"/>
                <w:szCs w:val="16"/>
              </w:rPr>
            </w:pPr>
            <w:proofErr w:type="spellStart"/>
            <w:r w:rsidRPr="00010398">
              <w:rPr>
                <w:i/>
                <w:sz w:val="16"/>
                <w:szCs w:val="16"/>
              </w:rPr>
              <w:t>Année</w:t>
            </w:r>
            <w:proofErr w:type="spellEnd"/>
            <w:r w:rsidRPr="00010398">
              <w:rPr>
                <w:i/>
                <w:sz w:val="16"/>
                <w:szCs w:val="16"/>
              </w:rPr>
              <w:t xml:space="preserve"> 20</w:t>
            </w:r>
            <w:r>
              <w:rPr>
                <w:i/>
                <w:sz w:val="16"/>
                <w:szCs w:val="16"/>
              </w:rPr>
              <w:t>2</w:t>
            </w:r>
            <w:r w:rsidR="0090686B">
              <w:rPr>
                <w:i/>
                <w:sz w:val="16"/>
                <w:szCs w:val="16"/>
              </w:rPr>
              <w:t>3</w:t>
            </w:r>
          </w:p>
        </w:tc>
        <w:tc>
          <w:tcPr>
            <w:tcW w:w="992" w:type="dxa"/>
            <w:tcBorders>
              <w:left w:val="nil"/>
              <w:bottom w:val="single" w:sz="4" w:space="0" w:color="auto"/>
              <w:right w:val="nil"/>
            </w:tcBorders>
            <w:shd w:val="clear" w:color="auto" w:fill="auto"/>
            <w:vAlign w:val="center"/>
          </w:tcPr>
          <w:p w14:paraId="233CC296" w14:textId="77777777" w:rsidR="007870A6" w:rsidRPr="00010398" w:rsidRDefault="007870A6" w:rsidP="00AC6EC1">
            <w:pPr>
              <w:ind w:right="-2"/>
              <w:jc w:val="right"/>
              <w:rPr>
                <w:sz w:val="16"/>
                <w:szCs w:val="16"/>
              </w:rPr>
            </w:pPr>
            <w:proofErr w:type="spellStart"/>
            <w:r w:rsidRPr="00010398">
              <w:rPr>
                <w:sz w:val="16"/>
                <w:szCs w:val="16"/>
              </w:rPr>
              <w:t>Vins</w:t>
            </w:r>
            <w:proofErr w:type="spellEnd"/>
            <w:r w:rsidRPr="00010398">
              <w:rPr>
                <w:sz w:val="16"/>
                <w:szCs w:val="16"/>
              </w:rPr>
              <w:t xml:space="preserve"> et </w:t>
            </w:r>
            <w:proofErr w:type="spellStart"/>
            <w:r w:rsidRPr="00010398">
              <w:rPr>
                <w:sz w:val="16"/>
                <w:szCs w:val="16"/>
              </w:rPr>
              <w:t>Spiritueux</w:t>
            </w:r>
            <w:proofErr w:type="spellEnd"/>
          </w:p>
        </w:tc>
        <w:tc>
          <w:tcPr>
            <w:tcW w:w="1134" w:type="dxa"/>
            <w:tcBorders>
              <w:left w:val="nil"/>
              <w:bottom w:val="single" w:sz="4" w:space="0" w:color="auto"/>
              <w:right w:val="nil"/>
            </w:tcBorders>
            <w:shd w:val="clear" w:color="auto" w:fill="auto"/>
            <w:vAlign w:val="center"/>
          </w:tcPr>
          <w:p w14:paraId="6D01B05C" w14:textId="77777777" w:rsidR="007870A6" w:rsidRPr="00010398" w:rsidRDefault="007870A6" w:rsidP="00AC6EC1">
            <w:pPr>
              <w:ind w:right="-2"/>
              <w:jc w:val="right"/>
              <w:rPr>
                <w:sz w:val="16"/>
                <w:szCs w:val="16"/>
              </w:rPr>
            </w:pPr>
            <w:r w:rsidRPr="00010398">
              <w:rPr>
                <w:sz w:val="16"/>
                <w:szCs w:val="16"/>
              </w:rPr>
              <w:t xml:space="preserve">Mode et </w:t>
            </w:r>
            <w:proofErr w:type="spellStart"/>
            <w:r w:rsidRPr="00010398">
              <w:rPr>
                <w:sz w:val="16"/>
                <w:szCs w:val="16"/>
              </w:rPr>
              <w:t>Maroquinerie</w:t>
            </w:r>
            <w:proofErr w:type="spellEnd"/>
          </w:p>
        </w:tc>
        <w:tc>
          <w:tcPr>
            <w:tcW w:w="1134" w:type="dxa"/>
            <w:tcBorders>
              <w:left w:val="nil"/>
              <w:bottom w:val="single" w:sz="4" w:space="0" w:color="auto"/>
              <w:right w:val="nil"/>
            </w:tcBorders>
            <w:shd w:val="clear" w:color="auto" w:fill="auto"/>
            <w:vAlign w:val="center"/>
          </w:tcPr>
          <w:p w14:paraId="74D79847" w14:textId="77777777" w:rsidR="007870A6" w:rsidRPr="00010398" w:rsidRDefault="007870A6" w:rsidP="00AC6EC1">
            <w:pPr>
              <w:ind w:right="-2"/>
              <w:jc w:val="right"/>
              <w:rPr>
                <w:sz w:val="16"/>
                <w:szCs w:val="16"/>
              </w:rPr>
            </w:pPr>
            <w:r w:rsidRPr="00010398">
              <w:rPr>
                <w:sz w:val="16"/>
                <w:szCs w:val="16"/>
              </w:rPr>
              <w:t xml:space="preserve">Parfums et </w:t>
            </w:r>
            <w:proofErr w:type="spellStart"/>
            <w:r w:rsidRPr="00010398">
              <w:rPr>
                <w:sz w:val="16"/>
                <w:szCs w:val="16"/>
              </w:rPr>
              <w:t>Cosmétiques</w:t>
            </w:r>
            <w:proofErr w:type="spellEnd"/>
          </w:p>
        </w:tc>
        <w:tc>
          <w:tcPr>
            <w:tcW w:w="1134" w:type="dxa"/>
            <w:tcBorders>
              <w:left w:val="nil"/>
              <w:bottom w:val="single" w:sz="4" w:space="0" w:color="auto"/>
              <w:right w:val="nil"/>
            </w:tcBorders>
            <w:shd w:val="clear" w:color="auto" w:fill="auto"/>
            <w:vAlign w:val="center"/>
          </w:tcPr>
          <w:p w14:paraId="0DF9DA80" w14:textId="77777777" w:rsidR="007870A6" w:rsidRPr="00010398" w:rsidRDefault="007870A6" w:rsidP="00AC6EC1">
            <w:pPr>
              <w:ind w:right="-2"/>
              <w:jc w:val="right"/>
              <w:rPr>
                <w:sz w:val="16"/>
                <w:szCs w:val="16"/>
              </w:rPr>
            </w:pPr>
            <w:proofErr w:type="spellStart"/>
            <w:r w:rsidRPr="00010398">
              <w:rPr>
                <w:sz w:val="16"/>
                <w:szCs w:val="16"/>
              </w:rPr>
              <w:t>Montres</w:t>
            </w:r>
            <w:proofErr w:type="spellEnd"/>
            <w:r w:rsidRPr="00010398">
              <w:rPr>
                <w:sz w:val="16"/>
                <w:szCs w:val="16"/>
              </w:rPr>
              <w:t xml:space="preserve"> et </w:t>
            </w:r>
            <w:proofErr w:type="spellStart"/>
            <w:r w:rsidRPr="00010398">
              <w:rPr>
                <w:sz w:val="16"/>
                <w:szCs w:val="16"/>
              </w:rPr>
              <w:t>Joaillerie</w:t>
            </w:r>
            <w:proofErr w:type="spellEnd"/>
          </w:p>
        </w:tc>
        <w:tc>
          <w:tcPr>
            <w:tcW w:w="1134" w:type="dxa"/>
            <w:tcBorders>
              <w:left w:val="nil"/>
              <w:bottom w:val="single" w:sz="4" w:space="0" w:color="auto"/>
              <w:right w:val="nil"/>
            </w:tcBorders>
            <w:shd w:val="clear" w:color="auto" w:fill="auto"/>
            <w:vAlign w:val="center"/>
          </w:tcPr>
          <w:p w14:paraId="454019F8" w14:textId="77777777" w:rsidR="007870A6" w:rsidRPr="00010398" w:rsidRDefault="007870A6" w:rsidP="00AC6EC1">
            <w:pPr>
              <w:ind w:right="-2"/>
              <w:jc w:val="right"/>
              <w:rPr>
                <w:sz w:val="16"/>
                <w:szCs w:val="16"/>
              </w:rPr>
            </w:pPr>
            <w:r w:rsidRPr="00010398">
              <w:rPr>
                <w:sz w:val="16"/>
                <w:szCs w:val="16"/>
              </w:rPr>
              <w:t xml:space="preserve">Distribution </w:t>
            </w:r>
            <w:proofErr w:type="spellStart"/>
            <w:r w:rsidRPr="00010398">
              <w:rPr>
                <w:sz w:val="16"/>
                <w:szCs w:val="16"/>
              </w:rPr>
              <w:t>sélective</w:t>
            </w:r>
            <w:proofErr w:type="spellEnd"/>
          </w:p>
        </w:tc>
        <w:tc>
          <w:tcPr>
            <w:tcW w:w="1134" w:type="dxa"/>
            <w:tcBorders>
              <w:left w:val="nil"/>
              <w:bottom w:val="single" w:sz="4" w:space="0" w:color="auto"/>
              <w:right w:val="nil"/>
            </w:tcBorders>
            <w:shd w:val="clear" w:color="auto" w:fill="auto"/>
            <w:vAlign w:val="center"/>
          </w:tcPr>
          <w:p w14:paraId="47312525" w14:textId="77777777" w:rsidR="007870A6" w:rsidRPr="00010398" w:rsidRDefault="007870A6" w:rsidP="00AC6EC1">
            <w:pPr>
              <w:ind w:right="-2"/>
              <w:jc w:val="right"/>
              <w:rPr>
                <w:sz w:val="16"/>
                <w:szCs w:val="16"/>
              </w:rPr>
            </w:pPr>
            <w:proofErr w:type="spellStart"/>
            <w:r w:rsidRPr="00010398">
              <w:rPr>
                <w:sz w:val="16"/>
                <w:szCs w:val="16"/>
              </w:rPr>
              <w:t>Autres</w:t>
            </w:r>
            <w:proofErr w:type="spellEnd"/>
            <w:r w:rsidRPr="00010398">
              <w:rPr>
                <w:sz w:val="16"/>
                <w:szCs w:val="16"/>
              </w:rPr>
              <w:t xml:space="preserve"> </w:t>
            </w:r>
            <w:proofErr w:type="spellStart"/>
            <w:r w:rsidRPr="00010398">
              <w:rPr>
                <w:sz w:val="16"/>
                <w:szCs w:val="16"/>
              </w:rPr>
              <w:t>activités</w:t>
            </w:r>
            <w:proofErr w:type="spellEnd"/>
            <w:r w:rsidRPr="00010398">
              <w:rPr>
                <w:sz w:val="16"/>
                <w:szCs w:val="16"/>
              </w:rPr>
              <w:t xml:space="preserve"> </w:t>
            </w:r>
            <w:r w:rsidRPr="00010398">
              <w:rPr>
                <w:sz w:val="16"/>
                <w:szCs w:val="16"/>
              </w:rPr>
              <w:br/>
              <w:t xml:space="preserve">et </w:t>
            </w:r>
            <w:proofErr w:type="spellStart"/>
            <w:r w:rsidRPr="00010398">
              <w:rPr>
                <w:sz w:val="16"/>
                <w:szCs w:val="16"/>
              </w:rPr>
              <w:t>éliminations</w:t>
            </w:r>
            <w:proofErr w:type="spellEnd"/>
          </w:p>
        </w:tc>
        <w:tc>
          <w:tcPr>
            <w:tcW w:w="992" w:type="dxa"/>
            <w:tcBorders>
              <w:left w:val="nil"/>
              <w:bottom w:val="single" w:sz="4" w:space="0" w:color="auto"/>
              <w:right w:val="nil"/>
            </w:tcBorders>
            <w:shd w:val="clear" w:color="auto" w:fill="auto"/>
            <w:vAlign w:val="center"/>
          </w:tcPr>
          <w:p w14:paraId="436AE56B" w14:textId="77777777" w:rsidR="007870A6" w:rsidRPr="00010398" w:rsidRDefault="007870A6" w:rsidP="00B77EE8">
            <w:pPr>
              <w:ind w:right="-34"/>
              <w:jc w:val="right"/>
              <w:rPr>
                <w:b/>
                <w:sz w:val="16"/>
                <w:szCs w:val="16"/>
              </w:rPr>
            </w:pPr>
            <w:r w:rsidRPr="00010398">
              <w:rPr>
                <w:b/>
                <w:sz w:val="16"/>
                <w:szCs w:val="16"/>
              </w:rPr>
              <w:t>Total</w:t>
            </w:r>
          </w:p>
        </w:tc>
      </w:tr>
      <w:tr w:rsidR="007870A6" w:rsidRPr="00010398" w14:paraId="54442EAF" w14:textId="77777777" w:rsidTr="000C78EA">
        <w:trPr>
          <w:trHeight w:val="284"/>
        </w:trPr>
        <w:tc>
          <w:tcPr>
            <w:tcW w:w="1588" w:type="dxa"/>
            <w:tcBorders>
              <w:left w:val="nil"/>
              <w:bottom w:val="nil"/>
              <w:right w:val="nil"/>
            </w:tcBorders>
            <w:shd w:val="clear" w:color="auto" w:fill="auto"/>
            <w:vAlign w:val="center"/>
          </w:tcPr>
          <w:p w14:paraId="70318151" w14:textId="77777777" w:rsidR="007870A6" w:rsidRPr="00010398" w:rsidRDefault="007870A6" w:rsidP="00AC6EC1">
            <w:pPr>
              <w:ind w:right="-2"/>
              <w:rPr>
                <w:sz w:val="16"/>
                <w:szCs w:val="16"/>
              </w:rPr>
            </w:pPr>
            <w:r w:rsidRPr="00010398">
              <w:rPr>
                <w:sz w:val="16"/>
                <w:szCs w:val="16"/>
              </w:rPr>
              <w:t xml:space="preserve">Premier </w:t>
            </w:r>
            <w:proofErr w:type="spellStart"/>
            <w:r w:rsidRPr="00010398">
              <w:rPr>
                <w:sz w:val="16"/>
                <w:szCs w:val="16"/>
              </w:rPr>
              <w:t>trimestre</w:t>
            </w:r>
            <w:proofErr w:type="spellEnd"/>
            <w:r w:rsidRPr="00010398">
              <w:rPr>
                <w:sz w:val="16"/>
                <w:szCs w:val="16"/>
              </w:rPr>
              <w:t xml:space="preserve"> </w:t>
            </w:r>
          </w:p>
        </w:tc>
        <w:tc>
          <w:tcPr>
            <w:tcW w:w="992" w:type="dxa"/>
            <w:tcBorders>
              <w:left w:val="nil"/>
              <w:bottom w:val="nil"/>
              <w:right w:val="nil"/>
            </w:tcBorders>
            <w:shd w:val="clear" w:color="auto" w:fill="auto"/>
            <w:vAlign w:val="center"/>
          </w:tcPr>
          <w:p w14:paraId="363AF40B" w14:textId="77777777" w:rsidR="007870A6" w:rsidRPr="00183267" w:rsidRDefault="000E4E75" w:rsidP="00AC6EC1">
            <w:pPr>
              <w:ind w:right="-2"/>
              <w:jc w:val="right"/>
              <w:rPr>
                <w:sz w:val="16"/>
                <w:szCs w:val="16"/>
              </w:rPr>
            </w:pPr>
            <w:r>
              <w:rPr>
                <w:sz w:val="16"/>
                <w:szCs w:val="16"/>
              </w:rPr>
              <w:t xml:space="preserve">+ </w:t>
            </w:r>
            <w:r w:rsidR="00906D9C">
              <w:rPr>
                <w:sz w:val="16"/>
                <w:szCs w:val="16"/>
              </w:rPr>
              <w:t>3</w:t>
            </w:r>
            <w:r>
              <w:rPr>
                <w:sz w:val="16"/>
                <w:szCs w:val="16"/>
              </w:rPr>
              <w:t xml:space="preserve"> %</w:t>
            </w:r>
          </w:p>
        </w:tc>
        <w:tc>
          <w:tcPr>
            <w:tcW w:w="1134" w:type="dxa"/>
            <w:tcBorders>
              <w:left w:val="nil"/>
              <w:bottom w:val="nil"/>
              <w:right w:val="nil"/>
            </w:tcBorders>
            <w:shd w:val="clear" w:color="auto" w:fill="auto"/>
            <w:vAlign w:val="center"/>
          </w:tcPr>
          <w:p w14:paraId="0EB107F7" w14:textId="77777777" w:rsidR="007870A6" w:rsidRPr="00183267" w:rsidRDefault="000E4E75" w:rsidP="00AC6EC1">
            <w:pPr>
              <w:ind w:right="-2"/>
              <w:jc w:val="right"/>
              <w:rPr>
                <w:sz w:val="16"/>
                <w:szCs w:val="16"/>
              </w:rPr>
            </w:pPr>
            <w:r>
              <w:rPr>
                <w:sz w:val="16"/>
                <w:szCs w:val="16"/>
              </w:rPr>
              <w:t xml:space="preserve">+ </w:t>
            </w:r>
            <w:r w:rsidR="00906D9C">
              <w:rPr>
                <w:sz w:val="16"/>
                <w:szCs w:val="16"/>
              </w:rPr>
              <w:t>18</w:t>
            </w:r>
            <w:r>
              <w:rPr>
                <w:sz w:val="16"/>
                <w:szCs w:val="16"/>
              </w:rPr>
              <w:t xml:space="preserve"> %</w:t>
            </w:r>
          </w:p>
        </w:tc>
        <w:tc>
          <w:tcPr>
            <w:tcW w:w="1134" w:type="dxa"/>
            <w:tcBorders>
              <w:left w:val="nil"/>
              <w:bottom w:val="nil"/>
              <w:right w:val="nil"/>
            </w:tcBorders>
            <w:shd w:val="clear" w:color="auto" w:fill="auto"/>
            <w:vAlign w:val="center"/>
          </w:tcPr>
          <w:p w14:paraId="388B4A86" w14:textId="77777777" w:rsidR="007870A6" w:rsidRPr="00183267" w:rsidRDefault="000E4E75" w:rsidP="00AC6EC1">
            <w:pPr>
              <w:ind w:right="-2"/>
              <w:jc w:val="right"/>
              <w:rPr>
                <w:sz w:val="16"/>
                <w:szCs w:val="16"/>
              </w:rPr>
            </w:pPr>
            <w:r>
              <w:rPr>
                <w:sz w:val="16"/>
                <w:szCs w:val="16"/>
              </w:rPr>
              <w:t>+ 1</w:t>
            </w:r>
            <w:r w:rsidR="00906D9C">
              <w:rPr>
                <w:sz w:val="16"/>
                <w:szCs w:val="16"/>
              </w:rPr>
              <w:t>0</w:t>
            </w:r>
            <w:r>
              <w:rPr>
                <w:sz w:val="16"/>
                <w:szCs w:val="16"/>
              </w:rPr>
              <w:t xml:space="preserve"> %</w:t>
            </w:r>
          </w:p>
        </w:tc>
        <w:tc>
          <w:tcPr>
            <w:tcW w:w="1134" w:type="dxa"/>
            <w:tcBorders>
              <w:left w:val="nil"/>
              <w:bottom w:val="nil"/>
              <w:right w:val="nil"/>
            </w:tcBorders>
            <w:shd w:val="clear" w:color="auto" w:fill="auto"/>
            <w:vAlign w:val="center"/>
          </w:tcPr>
          <w:p w14:paraId="52B6CE92" w14:textId="77777777" w:rsidR="007870A6" w:rsidRPr="00183267" w:rsidRDefault="000E4E75" w:rsidP="00AC6EC1">
            <w:pPr>
              <w:ind w:right="-2"/>
              <w:jc w:val="right"/>
              <w:rPr>
                <w:sz w:val="16"/>
                <w:szCs w:val="16"/>
              </w:rPr>
            </w:pPr>
            <w:r>
              <w:rPr>
                <w:sz w:val="16"/>
                <w:szCs w:val="16"/>
              </w:rPr>
              <w:t xml:space="preserve">+ </w:t>
            </w:r>
            <w:r w:rsidR="00906D9C">
              <w:rPr>
                <w:sz w:val="16"/>
                <w:szCs w:val="16"/>
              </w:rPr>
              <w:t>11</w:t>
            </w:r>
            <w:r>
              <w:rPr>
                <w:sz w:val="16"/>
                <w:szCs w:val="16"/>
              </w:rPr>
              <w:t xml:space="preserve"> %</w:t>
            </w:r>
          </w:p>
        </w:tc>
        <w:tc>
          <w:tcPr>
            <w:tcW w:w="1134" w:type="dxa"/>
            <w:tcBorders>
              <w:left w:val="nil"/>
              <w:bottom w:val="nil"/>
              <w:right w:val="nil"/>
            </w:tcBorders>
            <w:shd w:val="clear" w:color="auto" w:fill="auto"/>
            <w:vAlign w:val="center"/>
          </w:tcPr>
          <w:p w14:paraId="4A1F935A" w14:textId="77777777" w:rsidR="007870A6" w:rsidRPr="00183267" w:rsidRDefault="000E4E75" w:rsidP="00E9536A">
            <w:pPr>
              <w:ind w:left="675" w:right="-2" w:hanging="139"/>
              <w:jc w:val="right"/>
              <w:rPr>
                <w:sz w:val="16"/>
                <w:szCs w:val="16"/>
              </w:rPr>
            </w:pPr>
            <w:r>
              <w:rPr>
                <w:sz w:val="16"/>
                <w:szCs w:val="16"/>
              </w:rPr>
              <w:t>+ 2</w:t>
            </w:r>
            <w:r w:rsidR="00906D9C">
              <w:rPr>
                <w:sz w:val="16"/>
                <w:szCs w:val="16"/>
              </w:rPr>
              <w:t>8</w:t>
            </w:r>
            <w:r>
              <w:rPr>
                <w:sz w:val="16"/>
                <w:szCs w:val="16"/>
              </w:rPr>
              <w:t xml:space="preserve"> %</w:t>
            </w:r>
          </w:p>
        </w:tc>
        <w:tc>
          <w:tcPr>
            <w:tcW w:w="1134" w:type="dxa"/>
            <w:tcBorders>
              <w:left w:val="nil"/>
              <w:bottom w:val="nil"/>
              <w:right w:val="nil"/>
            </w:tcBorders>
            <w:shd w:val="clear" w:color="auto" w:fill="auto"/>
            <w:vAlign w:val="center"/>
          </w:tcPr>
          <w:p w14:paraId="3864B525" w14:textId="77777777" w:rsidR="007870A6" w:rsidRPr="00183267" w:rsidRDefault="000E4E75" w:rsidP="00AC6EC1">
            <w:pPr>
              <w:ind w:right="-2"/>
              <w:jc w:val="right"/>
              <w:rPr>
                <w:sz w:val="16"/>
                <w:szCs w:val="16"/>
              </w:rPr>
            </w:pPr>
            <w:r>
              <w:rPr>
                <w:sz w:val="16"/>
                <w:szCs w:val="16"/>
              </w:rPr>
              <w:t>-</w:t>
            </w:r>
          </w:p>
        </w:tc>
        <w:tc>
          <w:tcPr>
            <w:tcW w:w="992" w:type="dxa"/>
            <w:tcBorders>
              <w:left w:val="nil"/>
              <w:bottom w:val="nil"/>
              <w:right w:val="nil"/>
            </w:tcBorders>
            <w:shd w:val="clear" w:color="auto" w:fill="auto"/>
            <w:vAlign w:val="center"/>
          </w:tcPr>
          <w:p w14:paraId="0A8610EE" w14:textId="77777777" w:rsidR="007870A6" w:rsidRPr="00183267" w:rsidRDefault="000E4E75" w:rsidP="00B77EE8">
            <w:pPr>
              <w:ind w:right="-34"/>
              <w:jc w:val="right"/>
              <w:rPr>
                <w:b/>
                <w:sz w:val="16"/>
                <w:szCs w:val="16"/>
              </w:rPr>
            </w:pPr>
            <w:r>
              <w:rPr>
                <w:b/>
                <w:sz w:val="16"/>
                <w:szCs w:val="16"/>
              </w:rPr>
              <w:t xml:space="preserve">+ </w:t>
            </w:r>
            <w:r w:rsidR="00906D9C">
              <w:rPr>
                <w:b/>
                <w:sz w:val="16"/>
                <w:szCs w:val="16"/>
              </w:rPr>
              <w:t>17</w:t>
            </w:r>
            <w:r>
              <w:rPr>
                <w:b/>
                <w:sz w:val="16"/>
                <w:szCs w:val="16"/>
              </w:rPr>
              <w:t xml:space="preserve"> %</w:t>
            </w:r>
          </w:p>
        </w:tc>
      </w:tr>
      <w:tr w:rsidR="007870A6" w:rsidRPr="00010398" w14:paraId="193616FD" w14:textId="77777777" w:rsidTr="000C78EA">
        <w:trPr>
          <w:trHeight w:val="284"/>
        </w:trPr>
        <w:tc>
          <w:tcPr>
            <w:tcW w:w="1588" w:type="dxa"/>
            <w:tcBorders>
              <w:top w:val="nil"/>
              <w:left w:val="nil"/>
              <w:bottom w:val="single" w:sz="4" w:space="0" w:color="auto"/>
              <w:right w:val="nil"/>
            </w:tcBorders>
            <w:shd w:val="clear" w:color="auto" w:fill="auto"/>
            <w:vAlign w:val="center"/>
          </w:tcPr>
          <w:p w14:paraId="56BFE091" w14:textId="77777777" w:rsidR="007870A6" w:rsidRPr="00010398" w:rsidRDefault="007870A6" w:rsidP="00AC6EC1">
            <w:pPr>
              <w:ind w:right="-2"/>
              <w:rPr>
                <w:sz w:val="16"/>
                <w:szCs w:val="16"/>
              </w:rPr>
            </w:pPr>
            <w:proofErr w:type="spellStart"/>
            <w:r w:rsidRPr="00010398">
              <w:rPr>
                <w:sz w:val="16"/>
                <w:szCs w:val="16"/>
              </w:rPr>
              <w:t>Deuxième</w:t>
            </w:r>
            <w:proofErr w:type="spellEnd"/>
            <w:r w:rsidRPr="00010398">
              <w:rPr>
                <w:sz w:val="16"/>
                <w:szCs w:val="16"/>
              </w:rPr>
              <w:t xml:space="preserve"> </w:t>
            </w:r>
            <w:proofErr w:type="spellStart"/>
            <w:r w:rsidRPr="00010398">
              <w:rPr>
                <w:sz w:val="16"/>
                <w:szCs w:val="16"/>
              </w:rPr>
              <w:t>trimestre</w:t>
            </w:r>
            <w:proofErr w:type="spellEnd"/>
          </w:p>
        </w:tc>
        <w:tc>
          <w:tcPr>
            <w:tcW w:w="992" w:type="dxa"/>
            <w:tcBorders>
              <w:top w:val="nil"/>
              <w:left w:val="nil"/>
              <w:bottom w:val="single" w:sz="4" w:space="0" w:color="auto"/>
              <w:right w:val="nil"/>
            </w:tcBorders>
            <w:shd w:val="clear" w:color="auto" w:fill="auto"/>
            <w:vAlign w:val="center"/>
          </w:tcPr>
          <w:p w14:paraId="1A16F138" w14:textId="77777777" w:rsidR="007870A6" w:rsidRPr="00183267" w:rsidRDefault="005418F2" w:rsidP="005418F2">
            <w:pPr>
              <w:ind w:left="537" w:right="-2"/>
              <w:jc w:val="center"/>
              <w:rPr>
                <w:sz w:val="16"/>
                <w:szCs w:val="16"/>
              </w:rPr>
            </w:pPr>
            <w:r>
              <w:rPr>
                <w:sz w:val="16"/>
                <w:szCs w:val="16"/>
              </w:rPr>
              <w:t xml:space="preserve">- </w:t>
            </w:r>
            <w:r w:rsidR="00291F2A">
              <w:rPr>
                <w:sz w:val="16"/>
                <w:szCs w:val="16"/>
              </w:rPr>
              <w:t>8 %</w:t>
            </w:r>
          </w:p>
        </w:tc>
        <w:tc>
          <w:tcPr>
            <w:tcW w:w="1134" w:type="dxa"/>
            <w:tcBorders>
              <w:top w:val="nil"/>
              <w:left w:val="nil"/>
              <w:bottom w:val="single" w:sz="4" w:space="0" w:color="auto"/>
              <w:right w:val="nil"/>
            </w:tcBorders>
            <w:shd w:val="clear" w:color="auto" w:fill="auto"/>
            <w:vAlign w:val="center"/>
          </w:tcPr>
          <w:p w14:paraId="7D30C350" w14:textId="77777777" w:rsidR="007870A6" w:rsidRPr="00183267" w:rsidRDefault="00291F2A" w:rsidP="00AC6EC1">
            <w:pPr>
              <w:ind w:right="-2"/>
              <w:jc w:val="right"/>
              <w:rPr>
                <w:sz w:val="16"/>
                <w:szCs w:val="16"/>
              </w:rPr>
            </w:pPr>
            <w:r>
              <w:rPr>
                <w:sz w:val="16"/>
                <w:szCs w:val="16"/>
              </w:rPr>
              <w:t>+ 21 %</w:t>
            </w:r>
          </w:p>
        </w:tc>
        <w:tc>
          <w:tcPr>
            <w:tcW w:w="1134" w:type="dxa"/>
            <w:tcBorders>
              <w:top w:val="nil"/>
              <w:left w:val="nil"/>
              <w:bottom w:val="single" w:sz="4" w:space="0" w:color="auto"/>
              <w:right w:val="nil"/>
            </w:tcBorders>
            <w:shd w:val="clear" w:color="auto" w:fill="auto"/>
            <w:vAlign w:val="center"/>
          </w:tcPr>
          <w:p w14:paraId="52C1C953" w14:textId="77777777" w:rsidR="007870A6" w:rsidRPr="00183267" w:rsidRDefault="00291F2A" w:rsidP="00AC6EC1">
            <w:pPr>
              <w:ind w:right="-2"/>
              <w:jc w:val="right"/>
              <w:rPr>
                <w:sz w:val="16"/>
                <w:szCs w:val="16"/>
              </w:rPr>
            </w:pPr>
            <w:r>
              <w:rPr>
                <w:sz w:val="16"/>
                <w:szCs w:val="16"/>
              </w:rPr>
              <w:t>+ 16 %</w:t>
            </w:r>
          </w:p>
        </w:tc>
        <w:tc>
          <w:tcPr>
            <w:tcW w:w="1134" w:type="dxa"/>
            <w:tcBorders>
              <w:top w:val="nil"/>
              <w:left w:val="nil"/>
              <w:bottom w:val="single" w:sz="4" w:space="0" w:color="auto"/>
              <w:right w:val="nil"/>
            </w:tcBorders>
            <w:shd w:val="clear" w:color="auto" w:fill="auto"/>
            <w:vAlign w:val="center"/>
          </w:tcPr>
          <w:p w14:paraId="6F555954" w14:textId="77777777" w:rsidR="007870A6" w:rsidRPr="00183267" w:rsidRDefault="00291F2A" w:rsidP="00AC6EC1">
            <w:pPr>
              <w:ind w:right="-2"/>
              <w:jc w:val="right"/>
              <w:rPr>
                <w:sz w:val="16"/>
                <w:szCs w:val="16"/>
              </w:rPr>
            </w:pPr>
            <w:r>
              <w:rPr>
                <w:sz w:val="16"/>
                <w:szCs w:val="16"/>
              </w:rPr>
              <w:t>+ 14 %</w:t>
            </w:r>
          </w:p>
        </w:tc>
        <w:tc>
          <w:tcPr>
            <w:tcW w:w="1134" w:type="dxa"/>
            <w:tcBorders>
              <w:top w:val="nil"/>
              <w:left w:val="nil"/>
              <w:bottom w:val="single" w:sz="4" w:space="0" w:color="auto"/>
              <w:right w:val="nil"/>
            </w:tcBorders>
            <w:shd w:val="clear" w:color="auto" w:fill="auto"/>
            <w:vAlign w:val="center"/>
          </w:tcPr>
          <w:p w14:paraId="3850E619" w14:textId="77777777" w:rsidR="007870A6" w:rsidRPr="00183267" w:rsidRDefault="00291F2A" w:rsidP="00E9536A">
            <w:pPr>
              <w:ind w:right="-2"/>
              <w:jc w:val="right"/>
              <w:rPr>
                <w:sz w:val="16"/>
                <w:szCs w:val="16"/>
              </w:rPr>
            </w:pPr>
            <w:r>
              <w:rPr>
                <w:sz w:val="16"/>
                <w:szCs w:val="16"/>
              </w:rPr>
              <w:t>+ 25 %</w:t>
            </w:r>
          </w:p>
        </w:tc>
        <w:tc>
          <w:tcPr>
            <w:tcW w:w="1134" w:type="dxa"/>
            <w:tcBorders>
              <w:top w:val="nil"/>
              <w:left w:val="nil"/>
              <w:bottom w:val="single" w:sz="4" w:space="0" w:color="auto"/>
              <w:right w:val="nil"/>
            </w:tcBorders>
            <w:shd w:val="clear" w:color="auto" w:fill="auto"/>
            <w:vAlign w:val="center"/>
          </w:tcPr>
          <w:p w14:paraId="12982D38" w14:textId="77777777" w:rsidR="007870A6" w:rsidRPr="00183267" w:rsidRDefault="00291F2A" w:rsidP="00AC6EC1">
            <w:pPr>
              <w:ind w:right="-2"/>
              <w:jc w:val="right"/>
              <w:rPr>
                <w:sz w:val="16"/>
                <w:szCs w:val="16"/>
              </w:rPr>
            </w:pPr>
            <w:r>
              <w:rPr>
                <w:sz w:val="16"/>
                <w:szCs w:val="16"/>
              </w:rPr>
              <w:t>-</w:t>
            </w:r>
          </w:p>
        </w:tc>
        <w:tc>
          <w:tcPr>
            <w:tcW w:w="992" w:type="dxa"/>
            <w:tcBorders>
              <w:top w:val="nil"/>
              <w:left w:val="nil"/>
              <w:bottom w:val="single" w:sz="4" w:space="0" w:color="auto"/>
              <w:right w:val="nil"/>
            </w:tcBorders>
            <w:shd w:val="clear" w:color="auto" w:fill="auto"/>
            <w:vAlign w:val="center"/>
          </w:tcPr>
          <w:p w14:paraId="730B728A" w14:textId="77777777" w:rsidR="007870A6" w:rsidRPr="00183267" w:rsidRDefault="00291F2A" w:rsidP="00B77EE8">
            <w:pPr>
              <w:ind w:right="-34"/>
              <w:jc w:val="right"/>
              <w:rPr>
                <w:b/>
                <w:sz w:val="16"/>
                <w:szCs w:val="16"/>
              </w:rPr>
            </w:pPr>
            <w:r>
              <w:rPr>
                <w:b/>
                <w:sz w:val="16"/>
                <w:szCs w:val="16"/>
              </w:rPr>
              <w:t>+ 17 %</w:t>
            </w:r>
          </w:p>
        </w:tc>
      </w:tr>
      <w:tr w:rsidR="007870A6" w:rsidRPr="00010398" w14:paraId="2115CBE9" w14:textId="77777777" w:rsidTr="000C78EA">
        <w:trPr>
          <w:trHeight w:val="284"/>
        </w:trPr>
        <w:tc>
          <w:tcPr>
            <w:tcW w:w="1588" w:type="dxa"/>
            <w:tcBorders>
              <w:top w:val="single" w:sz="4" w:space="0" w:color="auto"/>
              <w:left w:val="nil"/>
              <w:bottom w:val="single" w:sz="4" w:space="0" w:color="auto"/>
              <w:right w:val="nil"/>
            </w:tcBorders>
            <w:shd w:val="clear" w:color="auto" w:fill="auto"/>
            <w:vAlign w:val="center"/>
          </w:tcPr>
          <w:p w14:paraId="4B1CAF51" w14:textId="77777777" w:rsidR="007870A6" w:rsidRPr="00010398" w:rsidRDefault="007870A6" w:rsidP="00AC6EC1">
            <w:pPr>
              <w:ind w:right="-2"/>
              <w:rPr>
                <w:b/>
                <w:sz w:val="16"/>
                <w:szCs w:val="16"/>
              </w:rPr>
            </w:pPr>
            <w:r w:rsidRPr="00010398">
              <w:rPr>
                <w:b/>
                <w:sz w:val="16"/>
                <w:szCs w:val="16"/>
              </w:rPr>
              <w:t xml:space="preserve">Premier </w:t>
            </w:r>
            <w:proofErr w:type="spellStart"/>
            <w:r w:rsidRPr="00010398">
              <w:rPr>
                <w:b/>
                <w:sz w:val="16"/>
                <w:szCs w:val="16"/>
              </w:rPr>
              <w:t>semestre</w:t>
            </w:r>
            <w:proofErr w:type="spellEnd"/>
          </w:p>
        </w:tc>
        <w:tc>
          <w:tcPr>
            <w:tcW w:w="992" w:type="dxa"/>
            <w:tcBorders>
              <w:top w:val="single" w:sz="4" w:space="0" w:color="auto"/>
              <w:left w:val="nil"/>
              <w:bottom w:val="single" w:sz="4" w:space="0" w:color="auto"/>
              <w:right w:val="nil"/>
            </w:tcBorders>
            <w:shd w:val="clear" w:color="auto" w:fill="auto"/>
            <w:vAlign w:val="center"/>
          </w:tcPr>
          <w:p w14:paraId="267E943D" w14:textId="77777777" w:rsidR="007870A6" w:rsidRPr="00010398" w:rsidRDefault="005418F2" w:rsidP="005418F2">
            <w:pPr>
              <w:ind w:left="537" w:right="-2"/>
              <w:jc w:val="center"/>
              <w:rPr>
                <w:b/>
                <w:sz w:val="16"/>
                <w:szCs w:val="16"/>
              </w:rPr>
            </w:pPr>
            <w:r>
              <w:rPr>
                <w:b/>
                <w:sz w:val="16"/>
                <w:szCs w:val="16"/>
              </w:rPr>
              <w:t xml:space="preserve">- </w:t>
            </w:r>
            <w:r w:rsidR="00291F2A">
              <w:rPr>
                <w:b/>
                <w:sz w:val="16"/>
                <w:szCs w:val="16"/>
              </w:rPr>
              <w:t>3 %</w:t>
            </w:r>
          </w:p>
        </w:tc>
        <w:tc>
          <w:tcPr>
            <w:tcW w:w="1134" w:type="dxa"/>
            <w:tcBorders>
              <w:top w:val="single" w:sz="4" w:space="0" w:color="auto"/>
              <w:left w:val="nil"/>
              <w:bottom w:val="single" w:sz="4" w:space="0" w:color="auto"/>
              <w:right w:val="nil"/>
            </w:tcBorders>
            <w:shd w:val="clear" w:color="auto" w:fill="auto"/>
            <w:vAlign w:val="center"/>
          </w:tcPr>
          <w:p w14:paraId="6109AB85" w14:textId="77777777" w:rsidR="007870A6" w:rsidRPr="00010398" w:rsidRDefault="00291F2A" w:rsidP="00AC6EC1">
            <w:pPr>
              <w:ind w:right="-2"/>
              <w:jc w:val="right"/>
              <w:rPr>
                <w:b/>
                <w:sz w:val="16"/>
                <w:szCs w:val="16"/>
              </w:rPr>
            </w:pPr>
            <w:r>
              <w:rPr>
                <w:b/>
                <w:sz w:val="16"/>
                <w:szCs w:val="16"/>
              </w:rPr>
              <w:t>+ 20 %</w:t>
            </w:r>
          </w:p>
        </w:tc>
        <w:tc>
          <w:tcPr>
            <w:tcW w:w="1134" w:type="dxa"/>
            <w:tcBorders>
              <w:top w:val="single" w:sz="4" w:space="0" w:color="auto"/>
              <w:left w:val="nil"/>
              <w:bottom w:val="single" w:sz="4" w:space="0" w:color="auto"/>
              <w:right w:val="nil"/>
            </w:tcBorders>
            <w:shd w:val="clear" w:color="auto" w:fill="auto"/>
            <w:vAlign w:val="center"/>
          </w:tcPr>
          <w:p w14:paraId="4B05F278" w14:textId="77777777" w:rsidR="007870A6" w:rsidRPr="00010398" w:rsidRDefault="00291F2A" w:rsidP="00AC6EC1">
            <w:pPr>
              <w:ind w:right="-2"/>
              <w:jc w:val="right"/>
              <w:rPr>
                <w:b/>
                <w:sz w:val="16"/>
                <w:szCs w:val="16"/>
              </w:rPr>
            </w:pPr>
            <w:r>
              <w:rPr>
                <w:b/>
                <w:sz w:val="16"/>
                <w:szCs w:val="16"/>
              </w:rPr>
              <w:t>+ 13 %</w:t>
            </w:r>
          </w:p>
        </w:tc>
        <w:tc>
          <w:tcPr>
            <w:tcW w:w="1134" w:type="dxa"/>
            <w:tcBorders>
              <w:top w:val="single" w:sz="4" w:space="0" w:color="auto"/>
              <w:left w:val="nil"/>
              <w:bottom w:val="single" w:sz="4" w:space="0" w:color="auto"/>
              <w:right w:val="nil"/>
            </w:tcBorders>
            <w:shd w:val="clear" w:color="auto" w:fill="auto"/>
            <w:vAlign w:val="center"/>
          </w:tcPr>
          <w:p w14:paraId="3E33C7AD" w14:textId="77777777" w:rsidR="007870A6" w:rsidRPr="00010398" w:rsidRDefault="00291F2A" w:rsidP="00AC6EC1">
            <w:pPr>
              <w:ind w:right="-2"/>
              <w:jc w:val="right"/>
              <w:rPr>
                <w:b/>
                <w:sz w:val="16"/>
                <w:szCs w:val="16"/>
              </w:rPr>
            </w:pPr>
            <w:r>
              <w:rPr>
                <w:b/>
                <w:sz w:val="16"/>
                <w:szCs w:val="16"/>
              </w:rPr>
              <w:t>+ 13 %</w:t>
            </w:r>
          </w:p>
        </w:tc>
        <w:tc>
          <w:tcPr>
            <w:tcW w:w="1134" w:type="dxa"/>
            <w:tcBorders>
              <w:top w:val="single" w:sz="4" w:space="0" w:color="auto"/>
              <w:left w:val="nil"/>
              <w:bottom w:val="single" w:sz="4" w:space="0" w:color="auto"/>
              <w:right w:val="nil"/>
            </w:tcBorders>
            <w:shd w:val="clear" w:color="auto" w:fill="auto"/>
            <w:vAlign w:val="center"/>
          </w:tcPr>
          <w:p w14:paraId="638008C5" w14:textId="77777777" w:rsidR="007870A6" w:rsidRPr="00010398" w:rsidRDefault="00291F2A" w:rsidP="00E9536A">
            <w:pPr>
              <w:ind w:right="-2"/>
              <w:jc w:val="right"/>
              <w:rPr>
                <w:b/>
                <w:sz w:val="16"/>
                <w:szCs w:val="16"/>
              </w:rPr>
            </w:pPr>
            <w:r>
              <w:rPr>
                <w:b/>
                <w:sz w:val="16"/>
                <w:szCs w:val="16"/>
              </w:rPr>
              <w:t>+ 26 %</w:t>
            </w:r>
          </w:p>
        </w:tc>
        <w:tc>
          <w:tcPr>
            <w:tcW w:w="1134" w:type="dxa"/>
            <w:tcBorders>
              <w:top w:val="single" w:sz="4" w:space="0" w:color="auto"/>
              <w:left w:val="nil"/>
              <w:bottom w:val="single" w:sz="4" w:space="0" w:color="auto"/>
              <w:right w:val="nil"/>
            </w:tcBorders>
            <w:shd w:val="clear" w:color="auto" w:fill="auto"/>
            <w:vAlign w:val="center"/>
          </w:tcPr>
          <w:p w14:paraId="41DD4E00" w14:textId="77777777" w:rsidR="007870A6" w:rsidRPr="00CF719A" w:rsidRDefault="00291F2A" w:rsidP="00AC6EC1">
            <w:pPr>
              <w:ind w:right="-2"/>
              <w:jc w:val="right"/>
              <w:rPr>
                <w:b/>
                <w:sz w:val="16"/>
                <w:szCs w:val="16"/>
              </w:rPr>
            </w:pPr>
            <w:r w:rsidRPr="00CF719A">
              <w:rPr>
                <w:b/>
                <w:sz w:val="16"/>
                <w:szCs w:val="16"/>
              </w:rPr>
              <w:t>-</w:t>
            </w:r>
          </w:p>
        </w:tc>
        <w:tc>
          <w:tcPr>
            <w:tcW w:w="992" w:type="dxa"/>
            <w:tcBorders>
              <w:top w:val="single" w:sz="4" w:space="0" w:color="auto"/>
              <w:left w:val="nil"/>
              <w:bottom w:val="single" w:sz="4" w:space="0" w:color="auto"/>
              <w:right w:val="nil"/>
            </w:tcBorders>
            <w:shd w:val="clear" w:color="auto" w:fill="auto"/>
            <w:vAlign w:val="center"/>
          </w:tcPr>
          <w:p w14:paraId="62062712" w14:textId="77777777" w:rsidR="007870A6" w:rsidRPr="00CF719A" w:rsidRDefault="00291F2A" w:rsidP="00B77EE8">
            <w:pPr>
              <w:ind w:right="-34"/>
              <w:jc w:val="right"/>
              <w:rPr>
                <w:b/>
                <w:sz w:val="16"/>
                <w:szCs w:val="16"/>
              </w:rPr>
            </w:pPr>
            <w:r w:rsidRPr="00CF719A">
              <w:rPr>
                <w:b/>
                <w:sz w:val="16"/>
                <w:szCs w:val="16"/>
              </w:rPr>
              <w:t>+ 17 %</w:t>
            </w:r>
          </w:p>
        </w:tc>
      </w:tr>
    </w:tbl>
    <w:p w14:paraId="5C3C7279" w14:textId="77777777" w:rsidR="001263FC" w:rsidRPr="00F47BCF" w:rsidRDefault="001263FC" w:rsidP="00AC6EC1">
      <w:pPr>
        <w:ind w:right="-2"/>
        <w:jc w:val="both"/>
        <w:rPr>
          <w:lang w:val="fr-FR"/>
        </w:rPr>
      </w:pPr>
    </w:p>
    <w:p w14:paraId="16007B14" w14:textId="77777777" w:rsidR="00906D9C" w:rsidRPr="00010398" w:rsidRDefault="00906D9C" w:rsidP="00906D9C">
      <w:pPr>
        <w:jc w:val="both"/>
        <w:rPr>
          <w:b/>
        </w:rPr>
      </w:pPr>
      <w:r w:rsidRPr="00010398">
        <w:rPr>
          <w:b/>
        </w:rPr>
        <w:t>Ventes 20</w:t>
      </w:r>
      <w:r>
        <w:rPr>
          <w:b/>
        </w:rPr>
        <w:t xml:space="preserve">22 </w:t>
      </w:r>
      <w:r w:rsidRPr="00010398">
        <w:rPr>
          <w:b/>
        </w:rPr>
        <w:t>(</w:t>
      </w:r>
      <w:proofErr w:type="spellStart"/>
      <w:r w:rsidRPr="00010398">
        <w:rPr>
          <w:b/>
        </w:rPr>
        <w:t>en</w:t>
      </w:r>
      <w:proofErr w:type="spellEnd"/>
      <w:r w:rsidRPr="00010398">
        <w:rPr>
          <w:b/>
        </w:rPr>
        <w:t xml:space="preserve"> millions </w:t>
      </w:r>
      <w:proofErr w:type="spellStart"/>
      <w:r w:rsidRPr="00010398">
        <w:rPr>
          <w:b/>
        </w:rPr>
        <w:t>d’euros</w:t>
      </w:r>
      <w:proofErr w:type="spellEnd"/>
      <w:r w:rsidRPr="00010398">
        <w:rPr>
          <w:b/>
        </w:rPr>
        <w: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88"/>
        <w:gridCol w:w="992"/>
        <w:gridCol w:w="1134"/>
        <w:gridCol w:w="1134"/>
        <w:gridCol w:w="1134"/>
        <w:gridCol w:w="1134"/>
        <w:gridCol w:w="1134"/>
        <w:gridCol w:w="992"/>
      </w:tblGrid>
      <w:tr w:rsidR="00906D9C" w:rsidRPr="00010398" w14:paraId="155C004E" w14:textId="77777777" w:rsidTr="00A7170E">
        <w:trPr>
          <w:trHeight w:val="469"/>
        </w:trPr>
        <w:tc>
          <w:tcPr>
            <w:tcW w:w="1588" w:type="dxa"/>
            <w:tcBorders>
              <w:left w:val="nil"/>
              <w:bottom w:val="single" w:sz="4" w:space="0" w:color="auto"/>
              <w:right w:val="nil"/>
            </w:tcBorders>
            <w:shd w:val="clear" w:color="auto" w:fill="auto"/>
            <w:vAlign w:val="center"/>
          </w:tcPr>
          <w:p w14:paraId="2B7E700E" w14:textId="77777777" w:rsidR="00906D9C" w:rsidRPr="00010398" w:rsidRDefault="00906D9C" w:rsidP="00A7170E">
            <w:pPr>
              <w:ind w:right="-2"/>
              <w:rPr>
                <w:i/>
                <w:sz w:val="16"/>
                <w:szCs w:val="16"/>
              </w:rPr>
            </w:pPr>
            <w:proofErr w:type="spellStart"/>
            <w:r w:rsidRPr="00010398">
              <w:rPr>
                <w:i/>
                <w:sz w:val="16"/>
                <w:szCs w:val="16"/>
              </w:rPr>
              <w:t>Année</w:t>
            </w:r>
            <w:proofErr w:type="spellEnd"/>
            <w:r w:rsidRPr="00010398">
              <w:rPr>
                <w:i/>
                <w:sz w:val="16"/>
                <w:szCs w:val="16"/>
              </w:rPr>
              <w:t xml:space="preserve"> 2</w:t>
            </w:r>
            <w:r>
              <w:rPr>
                <w:i/>
                <w:sz w:val="16"/>
                <w:szCs w:val="16"/>
              </w:rPr>
              <w:t>022</w:t>
            </w:r>
          </w:p>
        </w:tc>
        <w:tc>
          <w:tcPr>
            <w:tcW w:w="992" w:type="dxa"/>
            <w:tcBorders>
              <w:left w:val="nil"/>
              <w:bottom w:val="single" w:sz="4" w:space="0" w:color="auto"/>
              <w:right w:val="nil"/>
            </w:tcBorders>
            <w:shd w:val="clear" w:color="auto" w:fill="auto"/>
            <w:vAlign w:val="center"/>
          </w:tcPr>
          <w:p w14:paraId="2C9D8EFF" w14:textId="77777777" w:rsidR="00906D9C" w:rsidRPr="00010398" w:rsidRDefault="00906D9C" w:rsidP="00A7170E">
            <w:pPr>
              <w:ind w:right="-2"/>
              <w:jc w:val="right"/>
              <w:rPr>
                <w:sz w:val="16"/>
                <w:szCs w:val="16"/>
              </w:rPr>
            </w:pPr>
            <w:proofErr w:type="spellStart"/>
            <w:r w:rsidRPr="00010398">
              <w:rPr>
                <w:sz w:val="16"/>
                <w:szCs w:val="16"/>
              </w:rPr>
              <w:t>Vins</w:t>
            </w:r>
            <w:proofErr w:type="spellEnd"/>
            <w:r w:rsidRPr="00010398">
              <w:rPr>
                <w:sz w:val="16"/>
                <w:szCs w:val="16"/>
              </w:rPr>
              <w:t xml:space="preserve"> et </w:t>
            </w:r>
            <w:proofErr w:type="spellStart"/>
            <w:r w:rsidRPr="00010398">
              <w:rPr>
                <w:sz w:val="16"/>
                <w:szCs w:val="16"/>
              </w:rPr>
              <w:t>Spiritueux</w:t>
            </w:r>
            <w:proofErr w:type="spellEnd"/>
          </w:p>
        </w:tc>
        <w:tc>
          <w:tcPr>
            <w:tcW w:w="1134" w:type="dxa"/>
            <w:tcBorders>
              <w:left w:val="nil"/>
              <w:bottom w:val="single" w:sz="4" w:space="0" w:color="auto"/>
              <w:right w:val="nil"/>
            </w:tcBorders>
            <w:shd w:val="clear" w:color="auto" w:fill="auto"/>
            <w:vAlign w:val="center"/>
          </w:tcPr>
          <w:p w14:paraId="3383922C" w14:textId="77777777" w:rsidR="00906D9C" w:rsidRPr="00010398" w:rsidRDefault="00906D9C" w:rsidP="00A7170E">
            <w:pPr>
              <w:ind w:right="-2"/>
              <w:jc w:val="right"/>
              <w:rPr>
                <w:sz w:val="16"/>
                <w:szCs w:val="16"/>
              </w:rPr>
            </w:pPr>
            <w:r w:rsidRPr="00010398">
              <w:rPr>
                <w:sz w:val="16"/>
                <w:szCs w:val="16"/>
              </w:rPr>
              <w:t xml:space="preserve">Mode et </w:t>
            </w:r>
            <w:proofErr w:type="spellStart"/>
            <w:r w:rsidRPr="00010398">
              <w:rPr>
                <w:sz w:val="16"/>
                <w:szCs w:val="16"/>
              </w:rPr>
              <w:t>Maroquinerie</w:t>
            </w:r>
            <w:proofErr w:type="spellEnd"/>
          </w:p>
        </w:tc>
        <w:tc>
          <w:tcPr>
            <w:tcW w:w="1134" w:type="dxa"/>
            <w:tcBorders>
              <w:left w:val="nil"/>
              <w:bottom w:val="single" w:sz="4" w:space="0" w:color="auto"/>
              <w:right w:val="nil"/>
            </w:tcBorders>
            <w:shd w:val="clear" w:color="auto" w:fill="auto"/>
            <w:vAlign w:val="center"/>
          </w:tcPr>
          <w:p w14:paraId="598B6B0A" w14:textId="77777777" w:rsidR="00906D9C" w:rsidRPr="00010398" w:rsidRDefault="00906D9C" w:rsidP="00A7170E">
            <w:pPr>
              <w:ind w:right="-2"/>
              <w:jc w:val="right"/>
              <w:rPr>
                <w:sz w:val="16"/>
                <w:szCs w:val="16"/>
              </w:rPr>
            </w:pPr>
            <w:r w:rsidRPr="00010398">
              <w:rPr>
                <w:sz w:val="16"/>
                <w:szCs w:val="16"/>
              </w:rPr>
              <w:t xml:space="preserve">Parfums et </w:t>
            </w:r>
            <w:proofErr w:type="spellStart"/>
            <w:r w:rsidRPr="00010398">
              <w:rPr>
                <w:sz w:val="16"/>
                <w:szCs w:val="16"/>
              </w:rPr>
              <w:t>Cosmétiques</w:t>
            </w:r>
            <w:proofErr w:type="spellEnd"/>
          </w:p>
        </w:tc>
        <w:tc>
          <w:tcPr>
            <w:tcW w:w="1134" w:type="dxa"/>
            <w:tcBorders>
              <w:left w:val="nil"/>
              <w:bottom w:val="single" w:sz="4" w:space="0" w:color="auto"/>
              <w:right w:val="nil"/>
            </w:tcBorders>
            <w:shd w:val="clear" w:color="auto" w:fill="auto"/>
            <w:vAlign w:val="center"/>
          </w:tcPr>
          <w:p w14:paraId="54963C4B" w14:textId="77777777" w:rsidR="00906D9C" w:rsidRPr="00010398" w:rsidRDefault="00906D9C" w:rsidP="00A7170E">
            <w:pPr>
              <w:ind w:right="-2"/>
              <w:jc w:val="right"/>
              <w:rPr>
                <w:sz w:val="16"/>
                <w:szCs w:val="16"/>
              </w:rPr>
            </w:pPr>
            <w:proofErr w:type="spellStart"/>
            <w:r w:rsidRPr="00010398">
              <w:rPr>
                <w:sz w:val="16"/>
                <w:szCs w:val="16"/>
              </w:rPr>
              <w:t>Montres</w:t>
            </w:r>
            <w:proofErr w:type="spellEnd"/>
            <w:r w:rsidRPr="00010398">
              <w:rPr>
                <w:sz w:val="16"/>
                <w:szCs w:val="16"/>
              </w:rPr>
              <w:t xml:space="preserve"> et </w:t>
            </w:r>
            <w:proofErr w:type="spellStart"/>
            <w:r w:rsidRPr="00010398">
              <w:rPr>
                <w:sz w:val="16"/>
                <w:szCs w:val="16"/>
              </w:rPr>
              <w:t>Joaillerie</w:t>
            </w:r>
            <w:proofErr w:type="spellEnd"/>
          </w:p>
        </w:tc>
        <w:tc>
          <w:tcPr>
            <w:tcW w:w="1134" w:type="dxa"/>
            <w:tcBorders>
              <w:left w:val="nil"/>
              <w:bottom w:val="single" w:sz="4" w:space="0" w:color="auto"/>
              <w:right w:val="nil"/>
            </w:tcBorders>
            <w:shd w:val="clear" w:color="auto" w:fill="auto"/>
            <w:vAlign w:val="center"/>
          </w:tcPr>
          <w:p w14:paraId="2293E509" w14:textId="77777777" w:rsidR="00906D9C" w:rsidRPr="00010398" w:rsidRDefault="00906D9C" w:rsidP="00A7170E">
            <w:pPr>
              <w:ind w:right="-2"/>
              <w:jc w:val="right"/>
              <w:rPr>
                <w:sz w:val="16"/>
                <w:szCs w:val="16"/>
              </w:rPr>
            </w:pPr>
            <w:r w:rsidRPr="00010398">
              <w:rPr>
                <w:sz w:val="16"/>
                <w:szCs w:val="16"/>
              </w:rPr>
              <w:t xml:space="preserve">Distribution </w:t>
            </w:r>
            <w:proofErr w:type="spellStart"/>
            <w:r>
              <w:rPr>
                <w:sz w:val="16"/>
                <w:szCs w:val="16"/>
              </w:rPr>
              <w:t>sélective</w:t>
            </w:r>
            <w:proofErr w:type="spellEnd"/>
          </w:p>
        </w:tc>
        <w:tc>
          <w:tcPr>
            <w:tcW w:w="1134" w:type="dxa"/>
            <w:tcBorders>
              <w:left w:val="nil"/>
              <w:bottom w:val="single" w:sz="4" w:space="0" w:color="auto"/>
              <w:right w:val="nil"/>
            </w:tcBorders>
            <w:shd w:val="clear" w:color="auto" w:fill="auto"/>
            <w:vAlign w:val="center"/>
          </w:tcPr>
          <w:p w14:paraId="1EC6514E" w14:textId="77777777" w:rsidR="00906D9C" w:rsidRPr="00010398" w:rsidRDefault="00906D9C" w:rsidP="00A7170E">
            <w:pPr>
              <w:ind w:right="-2"/>
              <w:jc w:val="right"/>
              <w:rPr>
                <w:sz w:val="16"/>
                <w:szCs w:val="16"/>
              </w:rPr>
            </w:pPr>
            <w:proofErr w:type="spellStart"/>
            <w:r w:rsidRPr="00010398">
              <w:rPr>
                <w:sz w:val="16"/>
                <w:szCs w:val="16"/>
              </w:rPr>
              <w:t>Autres</w:t>
            </w:r>
            <w:proofErr w:type="spellEnd"/>
            <w:r w:rsidRPr="00010398">
              <w:rPr>
                <w:sz w:val="16"/>
                <w:szCs w:val="16"/>
              </w:rPr>
              <w:t xml:space="preserve"> </w:t>
            </w:r>
            <w:proofErr w:type="spellStart"/>
            <w:r w:rsidRPr="00010398">
              <w:rPr>
                <w:sz w:val="16"/>
                <w:szCs w:val="16"/>
              </w:rPr>
              <w:t>activités</w:t>
            </w:r>
            <w:proofErr w:type="spellEnd"/>
            <w:r w:rsidRPr="00010398">
              <w:rPr>
                <w:sz w:val="16"/>
                <w:szCs w:val="16"/>
              </w:rPr>
              <w:t xml:space="preserve"> </w:t>
            </w:r>
            <w:r w:rsidRPr="00010398">
              <w:rPr>
                <w:sz w:val="16"/>
                <w:szCs w:val="16"/>
              </w:rPr>
              <w:br/>
              <w:t xml:space="preserve">et </w:t>
            </w:r>
            <w:proofErr w:type="spellStart"/>
            <w:r w:rsidRPr="00010398">
              <w:rPr>
                <w:sz w:val="16"/>
                <w:szCs w:val="16"/>
              </w:rPr>
              <w:t>éliminations</w:t>
            </w:r>
            <w:proofErr w:type="spellEnd"/>
          </w:p>
        </w:tc>
        <w:tc>
          <w:tcPr>
            <w:tcW w:w="992" w:type="dxa"/>
            <w:tcBorders>
              <w:left w:val="nil"/>
              <w:bottom w:val="single" w:sz="4" w:space="0" w:color="auto"/>
              <w:right w:val="nil"/>
            </w:tcBorders>
            <w:shd w:val="clear" w:color="auto" w:fill="auto"/>
            <w:vAlign w:val="center"/>
          </w:tcPr>
          <w:p w14:paraId="3929D84E" w14:textId="77777777" w:rsidR="00906D9C" w:rsidRPr="00010398" w:rsidRDefault="00906D9C" w:rsidP="00B77EE8">
            <w:pPr>
              <w:jc w:val="right"/>
              <w:rPr>
                <w:b/>
                <w:sz w:val="16"/>
                <w:szCs w:val="16"/>
              </w:rPr>
            </w:pPr>
            <w:r w:rsidRPr="00010398">
              <w:rPr>
                <w:b/>
                <w:sz w:val="16"/>
                <w:szCs w:val="16"/>
              </w:rPr>
              <w:t>Total</w:t>
            </w:r>
          </w:p>
        </w:tc>
      </w:tr>
      <w:tr w:rsidR="00906D9C" w:rsidRPr="00010398" w14:paraId="7B9104B5" w14:textId="77777777" w:rsidTr="00A7170E">
        <w:trPr>
          <w:trHeight w:val="284"/>
        </w:trPr>
        <w:tc>
          <w:tcPr>
            <w:tcW w:w="1588" w:type="dxa"/>
            <w:tcBorders>
              <w:left w:val="nil"/>
              <w:bottom w:val="nil"/>
              <w:right w:val="nil"/>
            </w:tcBorders>
            <w:shd w:val="clear" w:color="auto" w:fill="auto"/>
            <w:vAlign w:val="center"/>
          </w:tcPr>
          <w:p w14:paraId="05846D42" w14:textId="77777777" w:rsidR="00906D9C" w:rsidRPr="00010398" w:rsidRDefault="00906D9C" w:rsidP="00A7170E">
            <w:pPr>
              <w:ind w:right="-2"/>
              <w:rPr>
                <w:sz w:val="16"/>
                <w:szCs w:val="16"/>
              </w:rPr>
            </w:pPr>
            <w:r w:rsidRPr="00010398">
              <w:rPr>
                <w:sz w:val="16"/>
                <w:szCs w:val="16"/>
              </w:rPr>
              <w:t xml:space="preserve">Premier </w:t>
            </w:r>
            <w:proofErr w:type="spellStart"/>
            <w:r w:rsidRPr="00010398">
              <w:rPr>
                <w:sz w:val="16"/>
                <w:szCs w:val="16"/>
              </w:rPr>
              <w:t>trimestre</w:t>
            </w:r>
            <w:proofErr w:type="spellEnd"/>
            <w:r w:rsidRPr="00010398">
              <w:rPr>
                <w:sz w:val="16"/>
                <w:szCs w:val="16"/>
              </w:rPr>
              <w:t xml:space="preserve"> </w:t>
            </w:r>
          </w:p>
        </w:tc>
        <w:tc>
          <w:tcPr>
            <w:tcW w:w="992" w:type="dxa"/>
            <w:tcBorders>
              <w:left w:val="nil"/>
              <w:bottom w:val="nil"/>
              <w:right w:val="nil"/>
            </w:tcBorders>
            <w:shd w:val="clear" w:color="auto" w:fill="auto"/>
            <w:vAlign w:val="center"/>
          </w:tcPr>
          <w:p w14:paraId="446023F0" w14:textId="77777777" w:rsidR="00906D9C" w:rsidRPr="00010398" w:rsidRDefault="00906D9C" w:rsidP="00A7170E">
            <w:pPr>
              <w:ind w:right="-2"/>
              <w:jc w:val="right"/>
              <w:rPr>
                <w:sz w:val="16"/>
                <w:szCs w:val="16"/>
              </w:rPr>
            </w:pPr>
            <w:r>
              <w:rPr>
                <w:sz w:val="16"/>
                <w:szCs w:val="16"/>
              </w:rPr>
              <w:t>1 638</w:t>
            </w:r>
          </w:p>
        </w:tc>
        <w:tc>
          <w:tcPr>
            <w:tcW w:w="1134" w:type="dxa"/>
            <w:tcBorders>
              <w:left w:val="nil"/>
              <w:bottom w:val="nil"/>
              <w:right w:val="nil"/>
            </w:tcBorders>
            <w:shd w:val="clear" w:color="auto" w:fill="auto"/>
            <w:vAlign w:val="center"/>
          </w:tcPr>
          <w:p w14:paraId="374F9969" w14:textId="77777777" w:rsidR="00906D9C" w:rsidRPr="00010398" w:rsidRDefault="00906D9C" w:rsidP="00A7170E">
            <w:pPr>
              <w:ind w:right="-2"/>
              <w:jc w:val="right"/>
              <w:rPr>
                <w:sz w:val="16"/>
                <w:szCs w:val="16"/>
              </w:rPr>
            </w:pPr>
            <w:r>
              <w:rPr>
                <w:sz w:val="16"/>
                <w:szCs w:val="16"/>
              </w:rPr>
              <w:t>9 123</w:t>
            </w:r>
          </w:p>
        </w:tc>
        <w:tc>
          <w:tcPr>
            <w:tcW w:w="1134" w:type="dxa"/>
            <w:tcBorders>
              <w:left w:val="nil"/>
              <w:bottom w:val="nil"/>
              <w:right w:val="nil"/>
            </w:tcBorders>
            <w:shd w:val="clear" w:color="auto" w:fill="auto"/>
            <w:vAlign w:val="center"/>
          </w:tcPr>
          <w:p w14:paraId="03BD2837" w14:textId="77777777" w:rsidR="00906D9C" w:rsidRPr="00010398" w:rsidRDefault="00906D9C" w:rsidP="00A7170E">
            <w:pPr>
              <w:ind w:right="-2"/>
              <w:jc w:val="right"/>
              <w:rPr>
                <w:sz w:val="16"/>
                <w:szCs w:val="16"/>
              </w:rPr>
            </w:pPr>
            <w:r>
              <w:rPr>
                <w:sz w:val="16"/>
                <w:szCs w:val="16"/>
              </w:rPr>
              <w:t>1 905</w:t>
            </w:r>
          </w:p>
        </w:tc>
        <w:tc>
          <w:tcPr>
            <w:tcW w:w="1134" w:type="dxa"/>
            <w:tcBorders>
              <w:left w:val="nil"/>
              <w:bottom w:val="nil"/>
              <w:right w:val="nil"/>
            </w:tcBorders>
            <w:shd w:val="clear" w:color="auto" w:fill="auto"/>
            <w:vAlign w:val="center"/>
          </w:tcPr>
          <w:p w14:paraId="0ABC7C02" w14:textId="77777777" w:rsidR="00906D9C" w:rsidRPr="00010398" w:rsidRDefault="00906D9C" w:rsidP="00A7170E">
            <w:pPr>
              <w:ind w:right="-2"/>
              <w:jc w:val="right"/>
              <w:rPr>
                <w:sz w:val="16"/>
                <w:szCs w:val="16"/>
              </w:rPr>
            </w:pPr>
            <w:r>
              <w:rPr>
                <w:sz w:val="16"/>
                <w:szCs w:val="16"/>
              </w:rPr>
              <w:t>2 338</w:t>
            </w:r>
          </w:p>
        </w:tc>
        <w:tc>
          <w:tcPr>
            <w:tcW w:w="1134" w:type="dxa"/>
            <w:tcBorders>
              <w:left w:val="nil"/>
              <w:bottom w:val="nil"/>
              <w:right w:val="nil"/>
            </w:tcBorders>
            <w:shd w:val="clear" w:color="auto" w:fill="auto"/>
            <w:vAlign w:val="center"/>
          </w:tcPr>
          <w:p w14:paraId="7BEE0AC6" w14:textId="77777777" w:rsidR="00906D9C" w:rsidRPr="00010398" w:rsidRDefault="00906D9C" w:rsidP="00A7170E">
            <w:pPr>
              <w:ind w:right="-2"/>
              <w:jc w:val="right"/>
              <w:rPr>
                <w:sz w:val="16"/>
                <w:szCs w:val="16"/>
              </w:rPr>
            </w:pPr>
            <w:r>
              <w:rPr>
                <w:sz w:val="16"/>
                <w:szCs w:val="16"/>
              </w:rPr>
              <w:t>3 040</w:t>
            </w:r>
          </w:p>
        </w:tc>
        <w:tc>
          <w:tcPr>
            <w:tcW w:w="1134" w:type="dxa"/>
            <w:tcBorders>
              <w:left w:val="nil"/>
              <w:bottom w:val="nil"/>
              <w:right w:val="nil"/>
            </w:tcBorders>
            <w:shd w:val="clear" w:color="auto" w:fill="auto"/>
            <w:vAlign w:val="center"/>
          </w:tcPr>
          <w:p w14:paraId="76205B04" w14:textId="77777777" w:rsidR="00906D9C" w:rsidRPr="00010398" w:rsidRDefault="00906D9C" w:rsidP="00A7170E">
            <w:pPr>
              <w:ind w:right="-2"/>
              <w:jc w:val="right"/>
              <w:rPr>
                <w:sz w:val="16"/>
                <w:szCs w:val="16"/>
              </w:rPr>
            </w:pPr>
            <w:r>
              <w:rPr>
                <w:sz w:val="16"/>
                <w:szCs w:val="16"/>
              </w:rPr>
              <w:t>(41)</w:t>
            </w:r>
          </w:p>
        </w:tc>
        <w:tc>
          <w:tcPr>
            <w:tcW w:w="992" w:type="dxa"/>
            <w:tcBorders>
              <w:left w:val="nil"/>
              <w:bottom w:val="nil"/>
              <w:right w:val="nil"/>
            </w:tcBorders>
            <w:shd w:val="clear" w:color="auto" w:fill="auto"/>
            <w:vAlign w:val="center"/>
          </w:tcPr>
          <w:p w14:paraId="5250A9DA" w14:textId="77777777" w:rsidR="00906D9C" w:rsidRPr="00010398" w:rsidRDefault="00906D9C" w:rsidP="00B77EE8">
            <w:pPr>
              <w:jc w:val="right"/>
              <w:rPr>
                <w:b/>
                <w:sz w:val="16"/>
                <w:szCs w:val="16"/>
              </w:rPr>
            </w:pPr>
            <w:r>
              <w:rPr>
                <w:b/>
                <w:sz w:val="16"/>
                <w:szCs w:val="16"/>
              </w:rPr>
              <w:t>18 003</w:t>
            </w:r>
          </w:p>
        </w:tc>
      </w:tr>
      <w:tr w:rsidR="00906D9C" w:rsidRPr="00010398" w14:paraId="11A27540" w14:textId="77777777" w:rsidTr="00A7170E">
        <w:trPr>
          <w:trHeight w:val="284"/>
        </w:trPr>
        <w:tc>
          <w:tcPr>
            <w:tcW w:w="1588" w:type="dxa"/>
            <w:tcBorders>
              <w:top w:val="nil"/>
              <w:left w:val="nil"/>
              <w:bottom w:val="single" w:sz="4" w:space="0" w:color="auto"/>
              <w:right w:val="nil"/>
            </w:tcBorders>
            <w:shd w:val="clear" w:color="auto" w:fill="auto"/>
            <w:vAlign w:val="center"/>
          </w:tcPr>
          <w:p w14:paraId="056E7EE8" w14:textId="77777777" w:rsidR="00906D9C" w:rsidRPr="00010398" w:rsidRDefault="00906D9C" w:rsidP="00A7170E">
            <w:pPr>
              <w:ind w:right="-2"/>
              <w:rPr>
                <w:sz w:val="16"/>
                <w:szCs w:val="16"/>
              </w:rPr>
            </w:pPr>
            <w:proofErr w:type="spellStart"/>
            <w:r w:rsidRPr="00010398">
              <w:rPr>
                <w:sz w:val="16"/>
                <w:szCs w:val="16"/>
              </w:rPr>
              <w:t>Deuxième</w:t>
            </w:r>
            <w:proofErr w:type="spellEnd"/>
            <w:r w:rsidRPr="00010398">
              <w:rPr>
                <w:sz w:val="16"/>
                <w:szCs w:val="16"/>
              </w:rPr>
              <w:t xml:space="preserve"> </w:t>
            </w:r>
            <w:proofErr w:type="spellStart"/>
            <w:r w:rsidRPr="00010398">
              <w:rPr>
                <w:sz w:val="16"/>
                <w:szCs w:val="16"/>
              </w:rPr>
              <w:t>trimestre</w:t>
            </w:r>
            <w:proofErr w:type="spellEnd"/>
          </w:p>
        </w:tc>
        <w:tc>
          <w:tcPr>
            <w:tcW w:w="992" w:type="dxa"/>
            <w:tcBorders>
              <w:top w:val="nil"/>
              <w:left w:val="nil"/>
              <w:bottom w:val="single" w:sz="4" w:space="0" w:color="auto"/>
              <w:right w:val="nil"/>
            </w:tcBorders>
            <w:shd w:val="clear" w:color="auto" w:fill="auto"/>
            <w:vAlign w:val="center"/>
          </w:tcPr>
          <w:p w14:paraId="7B07342A" w14:textId="77777777" w:rsidR="00906D9C" w:rsidRPr="00A936AC" w:rsidRDefault="00906D9C" w:rsidP="00A7170E">
            <w:pPr>
              <w:ind w:right="-2"/>
              <w:jc w:val="right"/>
              <w:rPr>
                <w:sz w:val="16"/>
                <w:szCs w:val="16"/>
              </w:rPr>
            </w:pPr>
            <w:r>
              <w:rPr>
                <w:sz w:val="16"/>
                <w:szCs w:val="16"/>
              </w:rPr>
              <w:t>1 689</w:t>
            </w:r>
          </w:p>
        </w:tc>
        <w:tc>
          <w:tcPr>
            <w:tcW w:w="1134" w:type="dxa"/>
            <w:tcBorders>
              <w:top w:val="nil"/>
              <w:left w:val="nil"/>
              <w:bottom w:val="single" w:sz="4" w:space="0" w:color="auto"/>
              <w:right w:val="nil"/>
            </w:tcBorders>
            <w:shd w:val="clear" w:color="auto" w:fill="auto"/>
            <w:vAlign w:val="center"/>
          </w:tcPr>
          <w:p w14:paraId="5E691DB3" w14:textId="77777777" w:rsidR="00906D9C" w:rsidRPr="00A936AC" w:rsidRDefault="00906D9C" w:rsidP="00A7170E">
            <w:pPr>
              <w:ind w:right="-2"/>
              <w:jc w:val="right"/>
              <w:rPr>
                <w:sz w:val="16"/>
                <w:szCs w:val="16"/>
              </w:rPr>
            </w:pPr>
            <w:r>
              <w:rPr>
                <w:sz w:val="16"/>
                <w:szCs w:val="16"/>
              </w:rPr>
              <w:t>9 013</w:t>
            </w:r>
          </w:p>
        </w:tc>
        <w:tc>
          <w:tcPr>
            <w:tcW w:w="1134" w:type="dxa"/>
            <w:tcBorders>
              <w:top w:val="nil"/>
              <w:left w:val="nil"/>
              <w:bottom w:val="single" w:sz="4" w:space="0" w:color="auto"/>
              <w:right w:val="nil"/>
            </w:tcBorders>
            <w:shd w:val="clear" w:color="auto" w:fill="auto"/>
            <w:vAlign w:val="center"/>
          </w:tcPr>
          <w:p w14:paraId="01A55258" w14:textId="77777777" w:rsidR="00906D9C" w:rsidRPr="009C585E" w:rsidRDefault="00906D9C" w:rsidP="00A7170E">
            <w:pPr>
              <w:ind w:right="-2"/>
              <w:jc w:val="right"/>
              <w:rPr>
                <w:sz w:val="16"/>
                <w:szCs w:val="16"/>
              </w:rPr>
            </w:pPr>
            <w:r w:rsidRPr="009C585E">
              <w:rPr>
                <w:sz w:val="16"/>
                <w:szCs w:val="16"/>
              </w:rPr>
              <w:t>1 714</w:t>
            </w:r>
          </w:p>
        </w:tc>
        <w:tc>
          <w:tcPr>
            <w:tcW w:w="1134" w:type="dxa"/>
            <w:tcBorders>
              <w:top w:val="nil"/>
              <w:left w:val="nil"/>
              <w:bottom w:val="single" w:sz="4" w:space="0" w:color="auto"/>
              <w:right w:val="nil"/>
            </w:tcBorders>
            <w:shd w:val="clear" w:color="auto" w:fill="auto"/>
            <w:vAlign w:val="center"/>
          </w:tcPr>
          <w:p w14:paraId="3E54A62D" w14:textId="77777777" w:rsidR="00906D9C" w:rsidRPr="009C585E" w:rsidRDefault="00906D9C" w:rsidP="00A7170E">
            <w:pPr>
              <w:ind w:right="-2"/>
              <w:jc w:val="right"/>
              <w:rPr>
                <w:sz w:val="16"/>
                <w:szCs w:val="16"/>
              </w:rPr>
            </w:pPr>
            <w:r w:rsidRPr="009C585E">
              <w:rPr>
                <w:sz w:val="16"/>
                <w:szCs w:val="16"/>
              </w:rPr>
              <w:t>2 570</w:t>
            </w:r>
          </w:p>
        </w:tc>
        <w:tc>
          <w:tcPr>
            <w:tcW w:w="1134" w:type="dxa"/>
            <w:tcBorders>
              <w:top w:val="nil"/>
              <w:left w:val="nil"/>
              <w:bottom w:val="single" w:sz="4" w:space="0" w:color="auto"/>
              <w:right w:val="nil"/>
            </w:tcBorders>
            <w:shd w:val="clear" w:color="auto" w:fill="auto"/>
            <w:vAlign w:val="center"/>
          </w:tcPr>
          <w:p w14:paraId="5077ECA2" w14:textId="77777777" w:rsidR="00906D9C" w:rsidRPr="00A936AC" w:rsidRDefault="00906D9C" w:rsidP="00A7170E">
            <w:pPr>
              <w:ind w:right="-2"/>
              <w:jc w:val="right"/>
              <w:rPr>
                <w:sz w:val="16"/>
                <w:szCs w:val="16"/>
              </w:rPr>
            </w:pPr>
            <w:r>
              <w:rPr>
                <w:sz w:val="16"/>
                <w:szCs w:val="16"/>
              </w:rPr>
              <w:t>3 591</w:t>
            </w:r>
          </w:p>
        </w:tc>
        <w:tc>
          <w:tcPr>
            <w:tcW w:w="1134" w:type="dxa"/>
            <w:tcBorders>
              <w:top w:val="nil"/>
              <w:left w:val="nil"/>
              <w:bottom w:val="single" w:sz="4" w:space="0" w:color="auto"/>
              <w:right w:val="nil"/>
            </w:tcBorders>
            <w:shd w:val="clear" w:color="auto" w:fill="auto"/>
            <w:vAlign w:val="center"/>
          </w:tcPr>
          <w:p w14:paraId="23BDD174" w14:textId="77777777" w:rsidR="00906D9C" w:rsidRPr="00A936AC" w:rsidRDefault="00906D9C" w:rsidP="00A7170E">
            <w:pPr>
              <w:ind w:right="-2"/>
              <w:jc w:val="right"/>
              <w:rPr>
                <w:sz w:val="16"/>
                <w:szCs w:val="16"/>
              </w:rPr>
            </w:pPr>
            <w:r>
              <w:rPr>
                <w:sz w:val="16"/>
                <w:szCs w:val="16"/>
              </w:rPr>
              <w:t>149</w:t>
            </w:r>
          </w:p>
        </w:tc>
        <w:tc>
          <w:tcPr>
            <w:tcW w:w="992" w:type="dxa"/>
            <w:tcBorders>
              <w:top w:val="nil"/>
              <w:left w:val="nil"/>
              <w:bottom w:val="single" w:sz="4" w:space="0" w:color="auto"/>
              <w:right w:val="nil"/>
            </w:tcBorders>
            <w:shd w:val="clear" w:color="auto" w:fill="auto"/>
            <w:vAlign w:val="center"/>
          </w:tcPr>
          <w:p w14:paraId="4419175F" w14:textId="77777777" w:rsidR="00906D9C" w:rsidRPr="00010398" w:rsidRDefault="00906D9C" w:rsidP="00B77EE8">
            <w:pPr>
              <w:jc w:val="right"/>
              <w:rPr>
                <w:b/>
                <w:sz w:val="16"/>
                <w:szCs w:val="16"/>
              </w:rPr>
            </w:pPr>
            <w:r>
              <w:rPr>
                <w:b/>
                <w:sz w:val="16"/>
                <w:szCs w:val="16"/>
              </w:rPr>
              <w:t>18 726</w:t>
            </w:r>
          </w:p>
        </w:tc>
      </w:tr>
      <w:tr w:rsidR="00906D9C" w:rsidRPr="00010398" w14:paraId="313482A6" w14:textId="77777777" w:rsidTr="00A7170E">
        <w:trPr>
          <w:trHeight w:val="284"/>
        </w:trPr>
        <w:tc>
          <w:tcPr>
            <w:tcW w:w="1588" w:type="dxa"/>
            <w:tcBorders>
              <w:top w:val="single" w:sz="4" w:space="0" w:color="auto"/>
              <w:left w:val="nil"/>
              <w:bottom w:val="single" w:sz="4" w:space="0" w:color="auto"/>
              <w:right w:val="nil"/>
            </w:tcBorders>
            <w:shd w:val="clear" w:color="auto" w:fill="auto"/>
            <w:vAlign w:val="center"/>
          </w:tcPr>
          <w:p w14:paraId="2078D4A5" w14:textId="77777777" w:rsidR="00906D9C" w:rsidRPr="00010398" w:rsidRDefault="00906D9C" w:rsidP="00A7170E">
            <w:pPr>
              <w:ind w:right="-2"/>
              <w:rPr>
                <w:b/>
                <w:sz w:val="16"/>
                <w:szCs w:val="16"/>
              </w:rPr>
            </w:pPr>
            <w:r w:rsidRPr="00010398">
              <w:rPr>
                <w:b/>
                <w:sz w:val="16"/>
                <w:szCs w:val="16"/>
              </w:rPr>
              <w:t xml:space="preserve">Premier </w:t>
            </w:r>
            <w:proofErr w:type="spellStart"/>
            <w:r w:rsidRPr="00010398">
              <w:rPr>
                <w:b/>
                <w:sz w:val="16"/>
                <w:szCs w:val="16"/>
              </w:rPr>
              <w:t>semestre</w:t>
            </w:r>
            <w:proofErr w:type="spellEnd"/>
          </w:p>
        </w:tc>
        <w:tc>
          <w:tcPr>
            <w:tcW w:w="992" w:type="dxa"/>
            <w:tcBorders>
              <w:top w:val="single" w:sz="4" w:space="0" w:color="auto"/>
              <w:left w:val="nil"/>
              <w:bottom w:val="single" w:sz="4" w:space="0" w:color="auto"/>
              <w:right w:val="nil"/>
            </w:tcBorders>
            <w:shd w:val="clear" w:color="auto" w:fill="auto"/>
            <w:vAlign w:val="center"/>
          </w:tcPr>
          <w:p w14:paraId="568280DA" w14:textId="77777777" w:rsidR="00906D9C" w:rsidRPr="00965B8B" w:rsidRDefault="00906D9C" w:rsidP="00A7170E">
            <w:pPr>
              <w:ind w:right="-2"/>
              <w:jc w:val="right"/>
              <w:rPr>
                <w:b/>
                <w:sz w:val="16"/>
                <w:szCs w:val="16"/>
              </w:rPr>
            </w:pPr>
            <w:r>
              <w:rPr>
                <w:b/>
                <w:sz w:val="16"/>
                <w:szCs w:val="16"/>
              </w:rPr>
              <w:t>3 327</w:t>
            </w:r>
          </w:p>
        </w:tc>
        <w:tc>
          <w:tcPr>
            <w:tcW w:w="1134" w:type="dxa"/>
            <w:tcBorders>
              <w:top w:val="single" w:sz="4" w:space="0" w:color="auto"/>
              <w:left w:val="nil"/>
              <w:bottom w:val="single" w:sz="4" w:space="0" w:color="auto"/>
              <w:right w:val="nil"/>
            </w:tcBorders>
            <w:shd w:val="clear" w:color="auto" w:fill="auto"/>
            <w:vAlign w:val="center"/>
          </w:tcPr>
          <w:p w14:paraId="67960CE6" w14:textId="77777777" w:rsidR="00906D9C" w:rsidRPr="00965B8B" w:rsidRDefault="00906D9C" w:rsidP="00A7170E">
            <w:pPr>
              <w:ind w:right="-2"/>
              <w:jc w:val="right"/>
              <w:rPr>
                <w:b/>
                <w:sz w:val="16"/>
                <w:szCs w:val="16"/>
              </w:rPr>
            </w:pPr>
            <w:r>
              <w:rPr>
                <w:b/>
                <w:sz w:val="16"/>
                <w:szCs w:val="16"/>
              </w:rPr>
              <w:t>18 136</w:t>
            </w:r>
          </w:p>
        </w:tc>
        <w:tc>
          <w:tcPr>
            <w:tcW w:w="1134" w:type="dxa"/>
            <w:tcBorders>
              <w:top w:val="single" w:sz="4" w:space="0" w:color="auto"/>
              <w:left w:val="nil"/>
              <w:bottom w:val="single" w:sz="4" w:space="0" w:color="auto"/>
              <w:right w:val="nil"/>
            </w:tcBorders>
            <w:shd w:val="clear" w:color="auto" w:fill="auto"/>
            <w:vAlign w:val="center"/>
          </w:tcPr>
          <w:p w14:paraId="0279CE5E" w14:textId="77777777" w:rsidR="00906D9C" w:rsidRPr="00965B8B" w:rsidRDefault="00906D9C" w:rsidP="00A7170E">
            <w:pPr>
              <w:ind w:right="-2"/>
              <w:jc w:val="right"/>
              <w:rPr>
                <w:b/>
                <w:sz w:val="16"/>
                <w:szCs w:val="16"/>
              </w:rPr>
            </w:pPr>
            <w:r>
              <w:rPr>
                <w:b/>
                <w:sz w:val="16"/>
                <w:szCs w:val="16"/>
              </w:rPr>
              <w:t>3 618</w:t>
            </w:r>
          </w:p>
        </w:tc>
        <w:tc>
          <w:tcPr>
            <w:tcW w:w="1134" w:type="dxa"/>
            <w:tcBorders>
              <w:top w:val="single" w:sz="4" w:space="0" w:color="auto"/>
              <w:left w:val="nil"/>
              <w:bottom w:val="single" w:sz="4" w:space="0" w:color="auto"/>
              <w:right w:val="nil"/>
            </w:tcBorders>
            <w:shd w:val="clear" w:color="auto" w:fill="auto"/>
            <w:vAlign w:val="center"/>
          </w:tcPr>
          <w:p w14:paraId="15EE9476" w14:textId="77777777" w:rsidR="00906D9C" w:rsidRPr="00965B8B" w:rsidRDefault="00906D9C" w:rsidP="00A7170E">
            <w:pPr>
              <w:ind w:right="-2"/>
              <w:jc w:val="right"/>
              <w:rPr>
                <w:b/>
                <w:sz w:val="16"/>
                <w:szCs w:val="16"/>
              </w:rPr>
            </w:pPr>
            <w:r>
              <w:rPr>
                <w:b/>
                <w:sz w:val="16"/>
                <w:szCs w:val="16"/>
              </w:rPr>
              <w:t>4 909</w:t>
            </w:r>
          </w:p>
        </w:tc>
        <w:tc>
          <w:tcPr>
            <w:tcW w:w="1134" w:type="dxa"/>
            <w:tcBorders>
              <w:top w:val="single" w:sz="4" w:space="0" w:color="auto"/>
              <w:left w:val="nil"/>
              <w:bottom w:val="single" w:sz="4" w:space="0" w:color="auto"/>
              <w:right w:val="nil"/>
            </w:tcBorders>
            <w:shd w:val="clear" w:color="auto" w:fill="auto"/>
            <w:vAlign w:val="center"/>
          </w:tcPr>
          <w:p w14:paraId="7CC24211" w14:textId="77777777" w:rsidR="00906D9C" w:rsidRPr="00965B8B" w:rsidRDefault="00906D9C" w:rsidP="00A7170E">
            <w:pPr>
              <w:ind w:right="-2"/>
              <w:jc w:val="right"/>
              <w:rPr>
                <w:b/>
                <w:sz w:val="16"/>
                <w:szCs w:val="16"/>
              </w:rPr>
            </w:pPr>
            <w:r>
              <w:rPr>
                <w:b/>
                <w:sz w:val="16"/>
                <w:szCs w:val="16"/>
              </w:rPr>
              <w:t>6 630</w:t>
            </w:r>
          </w:p>
        </w:tc>
        <w:tc>
          <w:tcPr>
            <w:tcW w:w="1134" w:type="dxa"/>
            <w:tcBorders>
              <w:top w:val="single" w:sz="4" w:space="0" w:color="auto"/>
              <w:left w:val="nil"/>
              <w:bottom w:val="single" w:sz="4" w:space="0" w:color="auto"/>
              <w:right w:val="nil"/>
            </w:tcBorders>
            <w:shd w:val="clear" w:color="auto" w:fill="auto"/>
            <w:vAlign w:val="center"/>
          </w:tcPr>
          <w:p w14:paraId="436D76CB" w14:textId="77777777" w:rsidR="00906D9C" w:rsidRPr="00965B8B" w:rsidRDefault="00906D9C" w:rsidP="00A7170E">
            <w:pPr>
              <w:ind w:right="-2"/>
              <w:jc w:val="right"/>
              <w:rPr>
                <w:b/>
                <w:sz w:val="16"/>
                <w:szCs w:val="16"/>
              </w:rPr>
            </w:pPr>
            <w:r>
              <w:rPr>
                <w:b/>
                <w:sz w:val="16"/>
                <w:szCs w:val="16"/>
              </w:rPr>
              <w:t>109</w:t>
            </w:r>
          </w:p>
        </w:tc>
        <w:tc>
          <w:tcPr>
            <w:tcW w:w="992" w:type="dxa"/>
            <w:tcBorders>
              <w:top w:val="single" w:sz="4" w:space="0" w:color="auto"/>
              <w:left w:val="nil"/>
              <w:bottom w:val="single" w:sz="4" w:space="0" w:color="auto"/>
              <w:right w:val="nil"/>
            </w:tcBorders>
            <w:shd w:val="clear" w:color="auto" w:fill="auto"/>
            <w:vAlign w:val="center"/>
          </w:tcPr>
          <w:p w14:paraId="597323E2" w14:textId="77777777" w:rsidR="00906D9C" w:rsidRPr="00010398" w:rsidRDefault="00906D9C" w:rsidP="00B77EE8">
            <w:pPr>
              <w:jc w:val="right"/>
              <w:rPr>
                <w:b/>
                <w:sz w:val="16"/>
                <w:szCs w:val="16"/>
              </w:rPr>
            </w:pPr>
            <w:r>
              <w:rPr>
                <w:b/>
                <w:sz w:val="16"/>
                <w:szCs w:val="16"/>
              </w:rPr>
              <w:t>36 729</w:t>
            </w:r>
          </w:p>
        </w:tc>
      </w:tr>
    </w:tbl>
    <w:p w14:paraId="4684E336" w14:textId="77777777" w:rsidR="00906D9C" w:rsidRPr="005C09EA" w:rsidRDefault="00906D9C" w:rsidP="00906D9C">
      <w:pPr>
        <w:pStyle w:val="Corpsdetexte2"/>
        <w:ind w:left="360" w:right="-2" w:hanging="360"/>
        <w:jc w:val="left"/>
        <w:rPr>
          <w:i/>
          <w:sz w:val="16"/>
          <w:szCs w:val="16"/>
        </w:rPr>
      </w:pPr>
    </w:p>
    <w:p w14:paraId="730D5E57" w14:textId="77777777" w:rsidR="00460407" w:rsidRPr="005C09EA" w:rsidRDefault="00460407" w:rsidP="00C167B7">
      <w:pPr>
        <w:pStyle w:val="Corpsdetexte2"/>
        <w:ind w:left="360" w:right="-2" w:hanging="360"/>
        <w:jc w:val="left"/>
        <w:rPr>
          <w:i/>
          <w:sz w:val="16"/>
          <w:szCs w:val="16"/>
        </w:rPr>
      </w:pPr>
    </w:p>
    <w:p w14:paraId="62E913A2" w14:textId="77777777" w:rsidR="00EB538B" w:rsidRPr="00E1555D" w:rsidRDefault="00EB538B" w:rsidP="00EB538B">
      <w:pPr>
        <w:pStyle w:val="Corpsdetexte2"/>
        <w:ind w:left="360" w:right="0" w:hanging="360"/>
        <w:jc w:val="left"/>
        <w:rPr>
          <w:b/>
          <w:bCs/>
          <w:color w:val="FF0000"/>
          <w:sz w:val="22"/>
          <w:szCs w:val="22"/>
        </w:rPr>
      </w:pPr>
      <w:r w:rsidRPr="00994304">
        <w:rPr>
          <w:b/>
          <w:bCs/>
          <w:sz w:val="22"/>
          <w:szCs w:val="22"/>
        </w:rPr>
        <w:t>Indicateurs alternatifs de performance</w:t>
      </w:r>
      <w:r w:rsidRPr="00460407">
        <w:rPr>
          <w:b/>
          <w:bCs/>
          <w:sz w:val="22"/>
          <w:szCs w:val="22"/>
        </w:rPr>
        <w:t> </w:t>
      </w:r>
      <w:r w:rsidR="00E1555D">
        <w:rPr>
          <w:b/>
          <w:bCs/>
          <w:sz w:val="22"/>
          <w:szCs w:val="22"/>
        </w:rPr>
        <w:t xml:space="preserve">   </w:t>
      </w:r>
    </w:p>
    <w:p w14:paraId="22A31A93" w14:textId="77777777" w:rsidR="00EB538B" w:rsidRPr="00EB538B" w:rsidRDefault="00EB538B" w:rsidP="00EB538B">
      <w:pPr>
        <w:jc w:val="both"/>
        <w:rPr>
          <w:sz w:val="22"/>
          <w:szCs w:val="22"/>
          <w:lang w:val="fr-FR"/>
        </w:rPr>
      </w:pPr>
      <w:r w:rsidRPr="00EB538B">
        <w:rPr>
          <w:sz w:val="22"/>
          <w:szCs w:val="22"/>
          <w:lang w:val="fr-FR"/>
        </w:rPr>
        <w:t>Pour les besoins de sa communication financière, en complément des agrégats comptables définis par les normes IAS/IFRS, LVMH utilise des indicateurs alternatifs de performance établis conformément à la position de l’AMF DOC-2015-12.</w:t>
      </w:r>
    </w:p>
    <w:p w14:paraId="663F4261" w14:textId="77777777" w:rsidR="00EB538B" w:rsidRPr="00EB538B" w:rsidRDefault="00EB538B" w:rsidP="00EB538B">
      <w:pPr>
        <w:jc w:val="both"/>
        <w:rPr>
          <w:sz w:val="22"/>
          <w:szCs w:val="22"/>
          <w:lang w:val="fr-FR"/>
        </w:rPr>
      </w:pPr>
      <w:r w:rsidRPr="00EB538B">
        <w:rPr>
          <w:sz w:val="22"/>
          <w:szCs w:val="22"/>
          <w:lang w:val="fr-FR"/>
        </w:rPr>
        <w:t>Le tableau ci-dessous recense ces indicateurs et le renvoi à leur définition ainsi qu’à leur rapprochement avec les agrégats définis par les normes IAS/IFRS, dans les documents publiés.</w:t>
      </w:r>
    </w:p>
    <w:p w14:paraId="23E2804C" w14:textId="77777777" w:rsidR="00EB538B" w:rsidRPr="005C09EA" w:rsidRDefault="00EB538B" w:rsidP="00EB538B">
      <w:pPr>
        <w:jc w:val="both"/>
        <w:rPr>
          <w:sz w:val="16"/>
          <w:szCs w:val="16"/>
          <w:lang w:val="fr-F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63"/>
      </w:tblGrid>
      <w:tr w:rsidR="00EB538B" w:rsidRPr="00EB538B" w14:paraId="17E7EC4B" w14:textId="77777777" w:rsidTr="005C09EA">
        <w:tc>
          <w:tcPr>
            <w:tcW w:w="2943" w:type="dxa"/>
            <w:shd w:val="clear" w:color="auto" w:fill="auto"/>
          </w:tcPr>
          <w:p w14:paraId="43609D28" w14:textId="77777777" w:rsidR="00EB538B" w:rsidRPr="00EB538B" w:rsidRDefault="00EB538B" w:rsidP="00EB538B">
            <w:pPr>
              <w:jc w:val="both"/>
              <w:rPr>
                <w:b/>
                <w:sz w:val="22"/>
                <w:szCs w:val="22"/>
                <w:lang w:val="fr-FR"/>
              </w:rPr>
            </w:pPr>
            <w:r w:rsidRPr="00EB538B">
              <w:rPr>
                <w:b/>
                <w:sz w:val="22"/>
                <w:szCs w:val="22"/>
                <w:lang w:val="fr-FR"/>
              </w:rPr>
              <w:t>Indicateurs</w:t>
            </w:r>
          </w:p>
        </w:tc>
        <w:tc>
          <w:tcPr>
            <w:tcW w:w="6663" w:type="dxa"/>
            <w:shd w:val="clear" w:color="auto" w:fill="auto"/>
          </w:tcPr>
          <w:p w14:paraId="6C79CE30" w14:textId="77777777" w:rsidR="00EB538B" w:rsidRPr="00EB538B" w:rsidRDefault="00EB538B" w:rsidP="00EB538B">
            <w:pPr>
              <w:jc w:val="both"/>
              <w:rPr>
                <w:b/>
                <w:sz w:val="22"/>
                <w:szCs w:val="22"/>
                <w:lang w:val="fr-FR"/>
              </w:rPr>
            </w:pPr>
            <w:r w:rsidRPr="00EB538B">
              <w:rPr>
                <w:b/>
                <w:sz w:val="22"/>
                <w:szCs w:val="22"/>
                <w:lang w:val="fr-FR"/>
              </w:rPr>
              <w:t>Renvoi aux documents publiés</w:t>
            </w:r>
          </w:p>
        </w:tc>
      </w:tr>
      <w:tr w:rsidR="00EB538B" w:rsidRPr="000E63B7" w14:paraId="3897FB93" w14:textId="77777777" w:rsidTr="005C09EA">
        <w:tc>
          <w:tcPr>
            <w:tcW w:w="2943" w:type="dxa"/>
            <w:shd w:val="clear" w:color="auto" w:fill="auto"/>
          </w:tcPr>
          <w:p w14:paraId="3760BF9B" w14:textId="77777777" w:rsidR="00EB538B" w:rsidRPr="00EB538B" w:rsidRDefault="00EB538B" w:rsidP="00EB538B">
            <w:pPr>
              <w:rPr>
                <w:sz w:val="22"/>
                <w:szCs w:val="22"/>
                <w:lang w:val="fr-FR"/>
              </w:rPr>
            </w:pPr>
            <w:r w:rsidRPr="00EB538B">
              <w:rPr>
                <w:sz w:val="22"/>
                <w:szCs w:val="22"/>
                <w:lang w:val="fr-FR"/>
              </w:rPr>
              <w:t>Cash-flow disponible</w:t>
            </w:r>
            <w:r w:rsidR="005C09EA">
              <w:rPr>
                <w:sz w:val="22"/>
                <w:szCs w:val="22"/>
                <w:lang w:val="fr-FR"/>
              </w:rPr>
              <w:t xml:space="preserve"> </w:t>
            </w:r>
            <w:r w:rsidRPr="00EB538B">
              <w:rPr>
                <w:sz w:val="22"/>
                <w:szCs w:val="22"/>
                <w:lang w:val="fr-FR"/>
              </w:rPr>
              <w:t>d’exploitation</w:t>
            </w:r>
          </w:p>
        </w:tc>
        <w:tc>
          <w:tcPr>
            <w:tcW w:w="6663" w:type="dxa"/>
            <w:shd w:val="clear" w:color="auto" w:fill="auto"/>
          </w:tcPr>
          <w:p w14:paraId="15A3664B" w14:textId="77777777" w:rsidR="00EB538B" w:rsidRPr="00EB538B" w:rsidRDefault="00EB538B" w:rsidP="00EB538B">
            <w:pPr>
              <w:rPr>
                <w:sz w:val="22"/>
                <w:szCs w:val="22"/>
                <w:lang w:val="fr-FR"/>
              </w:rPr>
            </w:pPr>
            <w:r w:rsidRPr="00EB538B">
              <w:rPr>
                <w:sz w:val="22"/>
                <w:szCs w:val="22"/>
                <w:lang w:val="fr-FR"/>
              </w:rPr>
              <w:t>D</w:t>
            </w:r>
            <w:r w:rsidR="00043046">
              <w:rPr>
                <w:sz w:val="22"/>
                <w:szCs w:val="22"/>
                <w:lang w:val="fr-FR"/>
              </w:rPr>
              <w:t>EU</w:t>
            </w:r>
            <w:r w:rsidRPr="00EB538B">
              <w:rPr>
                <w:sz w:val="22"/>
                <w:szCs w:val="22"/>
                <w:lang w:val="fr-FR"/>
              </w:rPr>
              <w:t xml:space="preserve"> (comptes consolidés, tableau de variation de la trésorerie consolidée)</w:t>
            </w:r>
          </w:p>
        </w:tc>
      </w:tr>
      <w:tr w:rsidR="00EB538B" w:rsidRPr="000E63B7" w14:paraId="441B94B3" w14:textId="77777777" w:rsidTr="005C09EA">
        <w:trPr>
          <w:trHeight w:val="352"/>
        </w:trPr>
        <w:tc>
          <w:tcPr>
            <w:tcW w:w="2943" w:type="dxa"/>
            <w:shd w:val="clear" w:color="auto" w:fill="auto"/>
          </w:tcPr>
          <w:p w14:paraId="399B1650" w14:textId="77777777" w:rsidR="00EB538B" w:rsidRPr="00EB538B" w:rsidRDefault="00EB538B" w:rsidP="00EB538B">
            <w:pPr>
              <w:jc w:val="both"/>
              <w:rPr>
                <w:sz w:val="22"/>
                <w:szCs w:val="22"/>
                <w:lang w:val="fr-FR"/>
              </w:rPr>
            </w:pPr>
            <w:r w:rsidRPr="00EB538B">
              <w:rPr>
                <w:sz w:val="22"/>
                <w:szCs w:val="22"/>
                <w:lang w:val="fr-FR"/>
              </w:rPr>
              <w:t>Dette financière nette</w:t>
            </w:r>
          </w:p>
        </w:tc>
        <w:tc>
          <w:tcPr>
            <w:tcW w:w="6663" w:type="dxa"/>
            <w:shd w:val="clear" w:color="auto" w:fill="auto"/>
          </w:tcPr>
          <w:p w14:paraId="0DB3C1B9" w14:textId="77777777" w:rsidR="00EB538B" w:rsidRPr="00EB538B" w:rsidRDefault="00EB538B" w:rsidP="00EB538B">
            <w:pPr>
              <w:rPr>
                <w:sz w:val="22"/>
                <w:szCs w:val="22"/>
                <w:lang w:val="fr-FR"/>
              </w:rPr>
            </w:pPr>
            <w:r w:rsidRPr="00EB538B">
              <w:rPr>
                <w:sz w:val="22"/>
                <w:szCs w:val="22"/>
                <w:lang w:val="fr-FR"/>
              </w:rPr>
              <w:t>D</w:t>
            </w:r>
            <w:r w:rsidR="00043046">
              <w:rPr>
                <w:sz w:val="22"/>
                <w:szCs w:val="22"/>
                <w:lang w:val="fr-FR"/>
              </w:rPr>
              <w:t>EU</w:t>
            </w:r>
            <w:r w:rsidRPr="00EB538B">
              <w:rPr>
                <w:sz w:val="22"/>
                <w:szCs w:val="22"/>
                <w:lang w:val="fr-FR"/>
              </w:rPr>
              <w:t xml:space="preserve"> (notes 1.2</w:t>
            </w:r>
            <w:r w:rsidR="009C585E">
              <w:rPr>
                <w:sz w:val="22"/>
                <w:szCs w:val="22"/>
                <w:lang w:val="fr-FR"/>
              </w:rPr>
              <w:t>3</w:t>
            </w:r>
            <w:r w:rsidRPr="00EB538B">
              <w:rPr>
                <w:sz w:val="22"/>
                <w:szCs w:val="22"/>
                <w:lang w:val="fr-FR"/>
              </w:rPr>
              <w:t xml:space="preserve"> et 19 de l’annexe aux comptes consolidés)</w:t>
            </w:r>
          </w:p>
        </w:tc>
      </w:tr>
      <w:tr w:rsidR="00EB538B" w:rsidRPr="000E63B7" w14:paraId="4256B1D3" w14:textId="77777777" w:rsidTr="005C09EA">
        <w:trPr>
          <w:trHeight w:val="402"/>
        </w:trPr>
        <w:tc>
          <w:tcPr>
            <w:tcW w:w="2943" w:type="dxa"/>
            <w:shd w:val="clear" w:color="auto" w:fill="auto"/>
          </w:tcPr>
          <w:p w14:paraId="71245D3C" w14:textId="77777777" w:rsidR="00EB538B" w:rsidRPr="00EB538B" w:rsidRDefault="00EB538B" w:rsidP="00EB538B">
            <w:pPr>
              <w:jc w:val="both"/>
              <w:rPr>
                <w:sz w:val="22"/>
                <w:szCs w:val="22"/>
                <w:lang w:val="fr-FR"/>
              </w:rPr>
            </w:pPr>
            <w:proofErr w:type="spellStart"/>
            <w:r w:rsidRPr="00EB538B">
              <w:rPr>
                <w:sz w:val="22"/>
                <w:szCs w:val="22"/>
                <w:lang w:val="fr-FR"/>
              </w:rPr>
              <w:t>Gearing</w:t>
            </w:r>
            <w:proofErr w:type="spellEnd"/>
          </w:p>
        </w:tc>
        <w:tc>
          <w:tcPr>
            <w:tcW w:w="6663" w:type="dxa"/>
            <w:shd w:val="clear" w:color="auto" w:fill="auto"/>
          </w:tcPr>
          <w:p w14:paraId="1B19A835" w14:textId="77777777" w:rsidR="00EB538B" w:rsidRPr="00EB538B" w:rsidRDefault="00EB538B" w:rsidP="00EB538B">
            <w:pPr>
              <w:rPr>
                <w:sz w:val="22"/>
                <w:szCs w:val="22"/>
                <w:lang w:val="fr-FR"/>
              </w:rPr>
            </w:pPr>
            <w:r w:rsidRPr="00EB538B">
              <w:rPr>
                <w:sz w:val="22"/>
                <w:szCs w:val="22"/>
                <w:lang w:val="fr-FR"/>
              </w:rPr>
              <w:t>D</w:t>
            </w:r>
            <w:r w:rsidR="00043046">
              <w:rPr>
                <w:sz w:val="22"/>
                <w:szCs w:val="22"/>
                <w:lang w:val="fr-FR"/>
              </w:rPr>
              <w:t>EU</w:t>
            </w:r>
            <w:r w:rsidRPr="00EB538B">
              <w:rPr>
                <w:sz w:val="22"/>
                <w:szCs w:val="22"/>
                <w:lang w:val="fr-FR"/>
              </w:rPr>
              <w:t xml:space="preserve"> (partie </w:t>
            </w:r>
            <w:r w:rsidR="00043046">
              <w:rPr>
                <w:sz w:val="22"/>
                <w:szCs w:val="22"/>
                <w:lang w:val="fr-FR"/>
              </w:rPr>
              <w:t>2</w:t>
            </w:r>
            <w:r w:rsidRPr="00EB538B">
              <w:rPr>
                <w:sz w:val="22"/>
                <w:szCs w:val="22"/>
                <w:lang w:val="fr-FR"/>
              </w:rPr>
              <w:t>, Commentaires sur le bilan consolidé)</w:t>
            </w:r>
          </w:p>
        </w:tc>
      </w:tr>
      <w:tr w:rsidR="00EB538B" w:rsidRPr="000E63B7" w14:paraId="5B37010A" w14:textId="77777777" w:rsidTr="005C09EA">
        <w:trPr>
          <w:trHeight w:val="422"/>
        </w:trPr>
        <w:tc>
          <w:tcPr>
            <w:tcW w:w="2943" w:type="dxa"/>
            <w:shd w:val="clear" w:color="auto" w:fill="auto"/>
          </w:tcPr>
          <w:p w14:paraId="12F0CAD0" w14:textId="77777777" w:rsidR="00EB538B" w:rsidRPr="00EB538B" w:rsidRDefault="00EB538B" w:rsidP="00EB538B">
            <w:pPr>
              <w:jc w:val="both"/>
              <w:rPr>
                <w:sz w:val="22"/>
                <w:szCs w:val="22"/>
                <w:lang w:val="fr-FR"/>
              </w:rPr>
            </w:pPr>
            <w:r w:rsidRPr="00EB538B">
              <w:rPr>
                <w:sz w:val="22"/>
                <w:szCs w:val="22"/>
                <w:lang w:val="fr-FR"/>
              </w:rPr>
              <w:t>Croissance organique</w:t>
            </w:r>
          </w:p>
        </w:tc>
        <w:tc>
          <w:tcPr>
            <w:tcW w:w="6663" w:type="dxa"/>
            <w:shd w:val="clear" w:color="auto" w:fill="auto"/>
          </w:tcPr>
          <w:p w14:paraId="3AA15B44" w14:textId="77777777" w:rsidR="00EB538B" w:rsidRPr="00EB538B" w:rsidRDefault="00EB538B" w:rsidP="00EB538B">
            <w:pPr>
              <w:rPr>
                <w:sz w:val="22"/>
                <w:szCs w:val="22"/>
                <w:lang w:val="fr-FR"/>
              </w:rPr>
            </w:pPr>
            <w:r w:rsidRPr="00EB538B">
              <w:rPr>
                <w:sz w:val="22"/>
                <w:szCs w:val="22"/>
                <w:lang w:val="fr-FR"/>
              </w:rPr>
              <w:t>D</w:t>
            </w:r>
            <w:r w:rsidR="00043046">
              <w:rPr>
                <w:sz w:val="22"/>
                <w:szCs w:val="22"/>
                <w:lang w:val="fr-FR"/>
              </w:rPr>
              <w:t>EU</w:t>
            </w:r>
            <w:r w:rsidRPr="00EB538B">
              <w:rPr>
                <w:sz w:val="22"/>
                <w:szCs w:val="22"/>
                <w:lang w:val="fr-FR"/>
              </w:rPr>
              <w:t xml:space="preserve"> (partie 1, Commentaires sur le compte de résultat consolidé)</w:t>
            </w:r>
          </w:p>
        </w:tc>
      </w:tr>
    </w:tbl>
    <w:p w14:paraId="682FC575" w14:textId="77777777" w:rsidR="00487D4D" w:rsidRDefault="00EB538B" w:rsidP="001E170B">
      <w:pPr>
        <w:jc w:val="both"/>
        <w:rPr>
          <w:i/>
          <w:sz w:val="22"/>
          <w:szCs w:val="22"/>
          <w:lang w:val="fr-FR"/>
        </w:rPr>
      </w:pPr>
      <w:r w:rsidRPr="00EB538B">
        <w:rPr>
          <w:i/>
          <w:sz w:val="22"/>
          <w:szCs w:val="22"/>
          <w:lang w:val="fr-FR"/>
        </w:rPr>
        <w:t>D</w:t>
      </w:r>
      <w:r w:rsidR="00043046">
        <w:rPr>
          <w:i/>
          <w:sz w:val="22"/>
          <w:szCs w:val="22"/>
          <w:lang w:val="fr-FR"/>
        </w:rPr>
        <w:t>EU</w:t>
      </w:r>
      <w:r w:rsidRPr="00EB538B">
        <w:rPr>
          <w:i/>
          <w:sz w:val="22"/>
          <w:szCs w:val="22"/>
          <w:lang w:val="fr-FR"/>
        </w:rPr>
        <w:t> : Document</w:t>
      </w:r>
      <w:r w:rsidR="00043046">
        <w:rPr>
          <w:i/>
          <w:sz w:val="22"/>
          <w:szCs w:val="22"/>
          <w:lang w:val="fr-FR"/>
        </w:rPr>
        <w:t xml:space="preserve"> d’Enregistrement Universel</w:t>
      </w:r>
      <w:r w:rsidRPr="00EB538B">
        <w:rPr>
          <w:i/>
          <w:sz w:val="22"/>
          <w:szCs w:val="22"/>
          <w:lang w:val="fr-FR"/>
        </w:rPr>
        <w:t xml:space="preserve"> au 31 décembre </w:t>
      </w:r>
      <w:r w:rsidRPr="00994304">
        <w:rPr>
          <w:i/>
          <w:sz w:val="22"/>
          <w:szCs w:val="22"/>
          <w:lang w:val="fr-FR"/>
        </w:rPr>
        <w:t>202</w:t>
      </w:r>
      <w:r w:rsidR="00EE5443" w:rsidRPr="00994304">
        <w:rPr>
          <w:i/>
          <w:sz w:val="22"/>
          <w:szCs w:val="22"/>
          <w:lang w:val="fr-FR"/>
        </w:rPr>
        <w:t>2</w:t>
      </w:r>
    </w:p>
    <w:p w14:paraId="0BB6F7C4" w14:textId="77777777" w:rsidR="00624227" w:rsidRDefault="00624227" w:rsidP="00624227">
      <w:pPr>
        <w:pStyle w:val="Default"/>
        <w:rPr>
          <w:sz w:val="22"/>
          <w:szCs w:val="22"/>
        </w:rPr>
      </w:pPr>
    </w:p>
    <w:p w14:paraId="054BE104" w14:textId="77777777" w:rsidR="00F71827" w:rsidRPr="000E63B7" w:rsidRDefault="00F71827" w:rsidP="00F71827">
      <w:pPr>
        <w:rPr>
          <w:lang w:val="fr-FR"/>
        </w:rPr>
      </w:pPr>
      <w:r>
        <w:rPr>
          <w:sz w:val="22"/>
          <w:szCs w:val="22"/>
          <w:lang w:val="fr-FR"/>
        </w:rPr>
        <w:br w:type="page"/>
      </w:r>
    </w:p>
    <w:p w14:paraId="4B03FC84" w14:textId="77777777" w:rsidR="00F71827" w:rsidRPr="000E63B7" w:rsidRDefault="00F71827" w:rsidP="00F71827">
      <w:pPr>
        <w:rPr>
          <w:lang w:val="fr-FR"/>
        </w:rPr>
      </w:pPr>
    </w:p>
    <w:p w14:paraId="72FB3848" w14:textId="77777777" w:rsidR="00F71827" w:rsidRPr="000E63B7" w:rsidRDefault="00F71827" w:rsidP="00F71827">
      <w:pPr>
        <w:rPr>
          <w:lang w:val="fr-FR"/>
        </w:rPr>
      </w:pPr>
    </w:p>
    <w:p w14:paraId="2AAB0450" w14:textId="77777777" w:rsidR="00F71827" w:rsidRPr="000E63B7" w:rsidRDefault="00F71827" w:rsidP="00F71827">
      <w:pPr>
        <w:rPr>
          <w:lang w:val="fr-FR"/>
        </w:rPr>
      </w:pPr>
    </w:p>
    <w:p w14:paraId="7DD1491A" w14:textId="77777777" w:rsidR="00F71827" w:rsidRPr="000E63B7" w:rsidRDefault="00F71827" w:rsidP="00F71827">
      <w:pPr>
        <w:pStyle w:val="Default"/>
        <w:rPr>
          <w:rFonts w:ascii="Times New Roman" w:hAnsi="Times New Roman" w:cs="Times New Roman"/>
          <w:b/>
          <w:bCs/>
          <w:color w:val="1F3864"/>
          <w:sz w:val="20"/>
          <w:szCs w:val="20"/>
        </w:rPr>
      </w:pPr>
      <w:bookmarkStart w:id="8" w:name="_Hlk115857598"/>
      <w:bookmarkStart w:id="9" w:name="_Hlk91659286"/>
      <w:r w:rsidRPr="000E63B7">
        <w:rPr>
          <w:rFonts w:ascii="Times New Roman" w:hAnsi="Times New Roman" w:cs="Times New Roman"/>
          <w:b/>
          <w:bCs/>
          <w:color w:val="1F3864"/>
          <w:sz w:val="20"/>
          <w:szCs w:val="20"/>
        </w:rPr>
        <w:t>LVMH</w:t>
      </w:r>
    </w:p>
    <w:p w14:paraId="60EE54B1" w14:textId="77777777" w:rsidR="00F71827" w:rsidRPr="004D35E6" w:rsidRDefault="00F71827" w:rsidP="00F71827">
      <w:pPr>
        <w:autoSpaceDE w:val="0"/>
        <w:autoSpaceDN w:val="0"/>
        <w:adjustRightInd w:val="0"/>
        <w:jc w:val="both"/>
        <w:rPr>
          <w:i/>
          <w:iCs/>
          <w:lang w:val="en-US"/>
        </w:rPr>
      </w:pPr>
      <w:r w:rsidRPr="000E63B7">
        <w:rPr>
          <w:i/>
          <w:lang w:val="fr-FR"/>
        </w:rPr>
        <w:t>LVMH Moët Hennessy Louis Vuitton is represented in Wines and Spirits by a portfolio of brands that includes Moët &amp; Chandon, Dom Pérignon, Veuve Clicquot, Krug, Ruinart, Mercier, Château d’Yquem, Domaine du Clos des Lambrays, Château Cheval Blanc, Colgin Cellars, Hennessy, Glenmorangie, Ardbeg, Belvedere, Woodinville, Volcán de Mi Tierra, Chandon, Cloudy Bay, Terrazas de los Andes, Cheval des Andes, Newton, Bodega Numanthia, Ao Yun, Château d’Esclans</w:t>
      </w:r>
      <w:r w:rsidRPr="000E63B7">
        <w:rPr>
          <w:i/>
          <w:iCs/>
          <w:lang w:val="fr-FR"/>
        </w:rPr>
        <w:t xml:space="preserve">, </w:t>
      </w:r>
      <w:r w:rsidRPr="000E63B7">
        <w:rPr>
          <w:i/>
          <w:lang w:val="fr-FR"/>
        </w:rPr>
        <w:t xml:space="preserve">Château Galoupet and Joseph Phelps. </w:t>
      </w:r>
      <w:r w:rsidRPr="004D35E6">
        <w:rPr>
          <w:i/>
          <w:lang w:val="en-US"/>
        </w:rPr>
        <w:t xml:space="preserve">Its Fashion and Leather Goods division includes Louis Vuitton, Christian Dior, Celine, Loewe, Kenzo, Givenchy, Fendi, Emilio Pucci, Marc Jacobs, Berluti, Loro </w:t>
      </w:r>
      <w:proofErr w:type="spellStart"/>
      <w:r w:rsidRPr="004D35E6">
        <w:rPr>
          <w:i/>
          <w:lang w:val="en-US"/>
        </w:rPr>
        <w:t>Piana</w:t>
      </w:r>
      <w:proofErr w:type="spellEnd"/>
      <w:r w:rsidRPr="004D35E6">
        <w:rPr>
          <w:i/>
          <w:lang w:val="en-US"/>
        </w:rPr>
        <w:t xml:space="preserve">, RIMOWA, </w:t>
      </w:r>
      <w:proofErr w:type="spellStart"/>
      <w:r w:rsidRPr="004D35E6">
        <w:rPr>
          <w:i/>
          <w:lang w:val="en-US"/>
        </w:rPr>
        <w:t>Patou</w:t>
      </w:r>
      <w:proofErr w:type="spellEnd"/>
      <w:r w:rsidRPr="004D35E6">
        <w:rPr>
          <w:i/>
          <w:lang w:val="en-US"/>
        </w:rPr>
        <w:t xml:space="preserve">. LVMH is present in the Perfumes and Cosmetics sector with Parfums Christian Dior, Guerlain, Parfums Givenchy, Kenzo Parfums, Perfumes Loewe, Benefit Cosmetics, Make Up For Ever, </w:t>
      </w:r>
      <w:proofErr w:type="spellStart"/>
      <w:r w:rsidRPr="004D35E6">
        <w:rPr>
          <w:i/>
          <w:lang w:val="en-US"/>
        </w:rPr>
        <w:t>Acqua</w:t>
      </w:r>
      <w:proofErr w:type="spellEnd"/>
      <w:r w:rsidRPr="004D35E6">
        <w:rPr>
          <w:i/>
          <w:lang w:val="en-US"/>
        </w:rPr>
        <w:t xml:space="preserve"> di Parma, Fresh, Fenty Beauty by Rihanna, Maison Francis </w:t>
      </w:r>
      <w:proofErr w:type="spellStart"/>
      <w:r w:rsidRPr="004D35E6">
        <w:rPr>
          <w:i/>
          <w:lang w:val="en-US"/>
        </w:rPr>
        <w:t>Kurkdjian</w:t>
      </w:r>
      <w:proofErr w:type="spellEnd"/>
      <w:r w:rsidRPr="004D35E6">
        <w:rPr>
          <w:i/>
          <w:lang w:val="en-US"/>
        </w:rPr>
        <w:t xml:space="preserve"> and Officine </w:t>
      </w:r>
      <w:proofErr w:type="spellStart"/>
      <w:r w:rsidRPr="004D35E6">
        <w:rPr>
          <w:i/>
          <w:lang w:val="en-US"/>
        </w:rPr>
        <w:t>Universelle</w:t>
      </w:r>
      <w:proofErr w:type="spellEnd"/>
      <w:r w:rsidRPr="004D35E6">
        <w:rPr>
          <w:i/>
          <w:lang w:val="en-US"/>
        </w:rPr>
        <w:t xml:space="preserve"> </w:t>
      </w:r>
      <w:proofErr w:type="spellStart"/>
      <w:r w:rsidRPr="004D35E6">
        <w:rPr>
          <w:i/>
          <w:lang w:val="en-US"/>
        </w:rPr>
        <w:t>Buly</w:t>
      </w:r>
      <w:proofErr w:type="spellEnd"/>
      <w:r w:rsidRPr="004D35E6">
        <w:rPr>
          <w:i/>
          <w:lang w:val="en-US"/>
        </w:rPr>
        <w:t>. LVMH's Watches and Jewelry division comprises Bulgari,</w:t>
      </w:r>
      <w:r w:rsidRPr="004D35E6">
        <w:rPr>
          <w:b/>
          <w:bCs/>
          <w:lang w:val="en-US"/>
        </w:rPr>
        <w:t xml:space="preserve"> </w:t>
      </w:r>
      <w:r w:rsidRPr="004D35E6">
        <w:rPr>
          <w:i/>
          <w:lang w:val="en-US"/>
        </w:rPr>
        <w:t xml:space="preserve">Tiffany &amp; Co., TAG Heuer, </w:t>
      </w:r>
      <w:proofErr w:type="spellStart"/>
      <w:r w:rsidRPr="004D35E6">
        <w:rPr>
          <w:i/>
          <w:lang w:val="en-US"/>
        </w:rPr>
        <w:t>Chaumet</w:t>
      </w:r>
      <w:proofErr w:type="spellEnd"/>
      <w:r w:rsidRPr="004D35E6">
        <w:rPr>
          <w:i/>
          <w:lang w:val="en-US"/>
        </w:rPr>
        <w:t xml:space="preserve">, Zenith, Fred and Hublot. LVMH is also active in selective retailing as well as in other activities through DFS, Sephora, Le Bon Marché, La </w:t>
      </w:r>
      <w:proofErr w:type="spellStart"/>
      <w:r w:rsidRPr="004D35E6">
        <w:rPr>
          <w:i/>
          <w:lang w:val="en-US"/>
        </w:rPr>
        <w:t>Samaritaine</w:t>
      </w:r>
      <w:proofErr w:type="spellEnd"/>
      <w:r w:rsidRPr="004D35E6">
        <w:rPr>
          <w:i/>
          <w:lang w:val="en-US"/>
        </w:rPr>
        <w:t xml:space="preserve">, Groupe Les </w:t>
      </w:r>
      <w:proofErr w:type="spellStart"/>
      <w:r w:rsidRPr="004D35E6">
        <w:rPr>
          <w:i/>
          <w:lang w:val="en-US"/>
        </w:rPr>
        <w:t>Echos</w:t>
      </w:r>
      <w:proofErr w:type="spellEnd"/>
      <w:r w:rsidRPr="004D35E6">
        <w:rPr>
          <w:i/>
          <w:lang w:val="en-US"/>
        </w:rPr>
        <w:t xml:space="preserve">, Cova, Le Jardin </w:t>
      </w:r>
      <w:proofErr w:type="spellStart"/>
      <w:r w:rsidRPr="004D35E6">
        <w:rPr>
          <w:i/>
          <w:lang w:val="en-US"/>
        </w:rPr>
        <w:t>d’Acclimatation</w:t>
      </w:r>
      <w:proofErr w:type="spellEnd"/>
      <w:r w:rsidRPr="004D35E6">
        <w:rPr>
          <w:i/>
          <w:lang w:val="en-US"/>
        </w:rPr>
        <w:t>, Royal Van Lent,</w:t>
      </w:r>
      <w:r w:rsidRPr="004D35E6">
        <w:rPr>
          <w:i/>
          <w:iCs/>
          <w:lang w:val="en-US"/>
        </w:rPr>
        <w:t xml:space="preserve"> Starboard Cruise Services,</w:t>
      </w:r>
      <w:r w:rsidRPr="004D35E6">
        <w:rPr>
          <w:i/>
          <w:lang w:val="en-US"/>
        </w:rPr>
        <w:t xml:space="preserve"> Belmond and Cheval Blanc hotels.</w:t>
      </w:r>
    </w:p>
    <w:bookmarkEnd w:id="8"/>
    <w:p w14:paraId="3233FA05" w14:textId="77777777" w:rsidR="00F71827" w:rsidRPr="00B04A43" w:rsidRDefault="00F71827" w:rsidP="00F71827">
      <w:pPr>
        <w:autoSpaceDE w:val="0"/>
        <w:autoSpaceDN w:val="0"/>
        <w:adjustRightInd w:val="0"/>
        <w:jc w:val="both"/>
        <w:rPr>
          <w:rFonts w:eastAsia="MS Mincho"/>
          <w:i/>
          <w:color w:val="000000"/>
          <w:szCs w:val="22"/>
          <w:lang w:val="en-US" w:eastAsia="ja-JP"/>
        </w:rPr>
      </w:pPr>
    </w:p>
    <w:p w14:paraId="0F0B64FD" w14:textId="77777777" w:rsidR="00F71827" w:rsidRPr="006F0F72" w:rsidRDefault="00F71827" w:rsidP="00F71827">
      <w:pPr>
        <w:autoSpaceDE w:val="0"/>
        <w:autoSpaceDN w:val="0"/>
        <w:adjustRightInd w:val="0"/>
        <w:jc w:val="both"/>
        <w:rPr>
          <w:i/>
          <w:iCs/>
          <w:sz w:val="16"/>
          <w:szCs w:val="16"/>
          <w:lang w:val="en-US"/>
        </w:rPr>
      </w:pPr>
      <w:bookmarkStart w:id="10" w:name="_Hlk519777632"/>
      <w:r w:rsidRPr="006F0F72">
        <w:rPr>
          <w:i/>
          <w:iCs/>
          <w:sz w:val="16"/>
          <w:szCs w:val="16"/>
          <w:lang w:val="en-US"/>
        </w:rPr>
        <w:t>“</w:t>
      </w:r>
      <w:bookmarkEnd w:id="10"/>
      <w:r w:rsidRPr="006F0F72">
        <w:rPr>
          <w:i/>
          <w:iCs/>
          <w:sz w:val="16"/>
          <w:szCs w:val="16"/>
          <w:lang w:val="en-US"/>
        </w:rPr>
        <w:t>This document may contain certain forward looking statements which are based on estimations and forecasts. By their nature, these forward looking statements are subject to important risks and uncertainties and factors beyond our control or ability to predict, in particular those described in LVMH’s Universal Registration Document which is available on the website (</w:t>
      </w:r>
      <w:hyperlink r:id="rId9" w:history="1">
        <w:r w:rsidRPr="006F0F72">
          <w:rPr>
            <w:rStyle w:val="Lienhypertexte"/>
            <w:sz w:val="16"/>
            <w:szCs w:val="16"/>
            <w:lang w:val="en-US"/>
          </w:rPr>
          <w:t>www.lvmh.com</w:t>
        </w:r>
      </w:hyperlink>
      <w:r w:rsidRPr="006F0F72">
        <w:rPr>
          <w:i/>
          <w:iCs/>
          <w:sz w:val="16"/>
          <w:szCs w:val="16"/>
          <w:lang w:val="en-US"/>
        </w:rPr>
        <w:t>). These forward looking statements should not be considered as a guarantee of future performance, the actual results could differ materially from those expressed or implied by them. The forward looking statements only reflect LVMH’s views as of the date of this document, and LVMH does not undertake to revise or update these forward looking statements. The forward looking statements should be used with caution and circumspection and in no event can LVMH and its Management be held responsible for any investment or other decision based upon such statements. The information in this document does not constitute an offer to sell or an invitation to buy shares in LVMH or an invitation or inducement to engage in any other investment activities.</w:t>
      </w:r>
      <w:bookmarkStart w:id="11" w:name="_Hlk519777650"/>
      <w:r w:rsidRPr="006F0F72">
        <w:rPr>
          <w:i/>
          <w:iCs/>
          <w:sz w:val="16"/>
          <w:szCs w:val="16"/>
          <w:lang w:val="en-US"/>
        </w:rPr>
        <w:t>”</w:t>
      </w:r>
      <w:bookmarkEnd w:id="11"/>
    </w:p>
    <w:p w14:paraId="432E0937" w14:textId="77777777" w:rsidR="00F71827" w:rsidRPr="006F0F72" w:rsidRDefault="00F71827" w:rsidP="00F71827">
      <w:pPr>
        <w:autoSpaceDE w:val="0"/>
        <w:autoSpaceDN w:val="0"/>
        <w:adjustRightInd w:val="0"/>
        <w:rPr>
          <w:rFonts w:eastAsia="MS Mincho"/>
          <w:color w:val="000000"/>
          <w:szCs w:val="22"/>
          <w:lang w:val="en-US" w:eastAsia="ja-JP"/>
        </w:rPr>
      </w:pPr>
    </w:p>
    <w:p w14:paraId="58244B83" w14:textId="77777777" w:rsidR="00F71827" w:rsidRPr="006F0F72" w:rsidRDefault="00F71827" w:rsidP="00F71827">
      <w:pPr>
        <w:autoSpaceDE w:val="0"/>
        <w:autoSpaceDN w:val="0"/>
        <w:adjustRightInd w:val="0"/>
        <w:rPr>
          <w:rFonts w:eastAsia="MS Mincho"/>
          <w:color w:val="000000"/>
          <w:szCs w:val="22"/>
          <w:lang w:eastAsia="ja-JP"/>
        </w:rPr>
      </w:pPr>
    </w:p>
    <w:p w14:paraId="0371B3D7" w14:textId="77777777" w:rsidR="00F71827" w:rsidRPr="006F0F72" w:rsidRDefault="00F71827" w:rsidP="00F71827">
      <w:pPr>
        <w:pStyle w:val="TEXTE"/>
        <w:rPr>
          <w:rFonts w:ascii="Times New Roman" w:hAnsi="Times New Roman" w:cs="Times New Roman"/>
          <w:b/>
          <w:bCs/>
          <w:caps/>
          <w:color w:val="002855"/>
          <w:spacing w:val="0"/>
          <w:sz w:val="18"/>
          <w:szCs w:val="18"/>
        </w:rPr>
      </w:pPr>
      <w:bookmarkStart w:id="12" w:name="_Hlk21528039"/>
      <w:r w:rsidRPr="006F0F72">
        <w:rPr>
          <w:rFonts w:ascii="Times New Roman" w:hAnsi="Times New Roman" w:cs="Times New Roman"/>
          <w:b/>
          <w:bCs/>
          <w:caps/>
          <w:color w:val="002855"/>
          <w:spacing w:val="0"/>
          <w:sz w:val="18"/>
          <w:szCs w:val="18"/>
        </w:rPr>
        <w:t xml:space="preserve">LVMH CONTACTS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652"/>
      </w:tblGrid>
      <w:tr w:rsidR="00F71827" w:rsidRPr="000E63B7" w14:paraId="69A439EB" w14:textId="77777777" w:rsidTr="00B947BE">
        <w:trPr>
          <w:trHeight w:val="743"/>
        </w:trPr>
        <w:tc>
          <w:tcPr>
            <w:tcW w:w="4503" w:type="dxa"/>
            <w:tcBorders>
              <w:bottom w:val="single" w:sz="4" w:space="0" w:color="auto"/>
            </w:tcBorders>
            <w:shd w:val="clear" w:color="auto" w:fill="auto"/>
          </w:tcPr>
          <w:p w14:paraId="3C0CEB04" w14:textId="77777777" w:rsidR="00F71827" w:rsidRPr="006F0F72" w:rsidRDefault="00F71827" w:rsidP="00B947BE">
            <w:pPr>
              <w:pStyle w:val="TEXTE"/>
              <w:rPr>
                <w:rFonts w:ascii="Times New Roman" w:hAnsi="Times New Roman" w:cs="Times New Roman"/>
                <w:b/>
                <w:bCs/>
                <w:color w:val="000000"/>
                <w:spacing w:val="0"/>
                <w:sz w:val="18"/>
                <w:szCs w:val="18"/>
                <w:lang w:val="en-GB"/>
              </w:rPr>
            </w:pPr>
            <w:r w:rsidRPr="006F0F72">
              <w:rPr>
                <w:rFonts w:ascii="Times New Roman" w:hAnsi="Times New Roman" w:cs="Times New Roman"/>
                <w:b/>
                <w:bCs/>
                <w:color w:val="000000"/>
                <w:spacing w:val="0"/>
                <w:sz w:val="18"/>
                <w:szCs w:val="18"/>
                <w:lang w:val="en-GB"/>
              </w:rPr>
              <w:t xml:space="preserve"> Analysts and investors</w:t>
            </w:r>
          </w:p>
          <w:p w14:paraId="56A0BCDD" w14:textId="77777777" w:rsidR="00F71827" w:rsidRPr="006F0F72" w:rsidRDefault="00F71827" w:rsidP="00B947BE">
            <w:pPr>
              <w:pStyle w:val="TEXTE"/>
              <w:rPr>
                <w:rFonts w:ascii="Times New Roman" w:hAnsi="Times New Roman" w:cs="Times New Roman"/>
                <w:i/>
                <w:iCs/>
                <w:color w:val="000000"/>
                <w:spacing w:val="0"/>
                <w:sz w:val="18"/>
                <w:szCs w:val="18"/>
                <w:lang w:val="en-GB"/>
              </w:rPr>
            </w:pPr>
            <w:r w:rsidRPr="006F0F72">
              <w:rPr>
                <w:rFonts w:ascii="Times New Roman" w:hAnsi="Times New Roman" w:cs="Times New Roman"/>
                <w:i/>
                <w:iCs/>
                <w:color w:val="000000"/>
                <w:spacing w:val="0"/>
                <w:sz w:val="18"/>
                <w:szCs w:val="18"/>
                <w:lang w:val="en-GB"/>
              </w:rPr>
              <w:t xml:space="preserve"> Chris Hollis</w:t>
            </w:r>
            <w:r>
              <w:rPr>
                <w:rFonts w:ascii="Times New Roman" w:hAnsi="Times New Roman" w:cs="Times New Roman"/>
                <w:i/>
                <w:iCs/>
                <w:color w:val="000000"/>
                <w:spacing w:val="0"/>
                <w:sz w:val="18"/>
                <w:szCs w:val="18"/>
                <w:lang w:val="en-GB"/>
              </w:rPr>
              <w:t xml:space="preserve"> / Rodolphe </w:t>
            </w:r>
            <w:proofErr w:type="spellStart"/>
            <w:r>
              <w:rPr>
                <w:rFonts w:ascii="Times New Roman" w:hAnsi="Times New Roman" w:cs="Times New Roman"/>
                <w:i/>
                <w:iCs/>
                <w:color w:val="000000"/>
                <w:spacing w:val="0"/>
                <w:sz w:val="18"/>
                <w:szCs w:val="18"/>
                <w:lang w:val="en-GB"/>
              </w:rPr>
              <w:t>Ozun</w:t>
            </w:r>
            <w:proofErr w:type="spellEnd"/>
          </w:p>
          <w:p w14:paraId="6F7A3DE7" w14:textId="77777777" w:rsidR="00F71827" w:rsidRPr="006F0F72" w:rsidRDefault="00F71827" w:rsidP="00B947BE">
            <w:pPr>
              <w:pStyle w:val="TEXTE"/>
              <w:rPr>
                <w:rFonts w:ascii="Times New Roman" w:hAnsi="Times New Roman" w:cs="Times New Roman"/>
                <w:color w:val="000000"/>
                <w:spacing w:val="0"/>
                <w:sz w:val="18"/>
                <w:szCs w:val="18"/>
                <w:lang w:val="en-GB"/>
              </w:rPr>
            </w:pPr>
            <w:r w:rsidRPr="006F0F72">
              <w:rPr>
                <w:rFonts w:ascii="Times New Roman" w:hAnsi="Times New Roman" w:cs="Times New Roman"/>
                <w:color w:val="000000"/>
                <w:spacing w:val="0"/>
                <w:sz w:val="18"/>
                <w:szCs w:val="18"/>
                <w:lang w:val="en-GB"/>
              </w:rPr>
              <w:t xml:space="preserve"> LVMH</w:t>
            </w:r>
          </w:p>
          <w:p w14:paraId="3FA5BC08" w14:textId="77777777" w:rsidR="00F71827" w:rsidRPr="006F0F72" w:rsidRDefault="00F71827" w:rsidP="00B947BE">
            <w:pPr>
              <w:pStyle w:val="TEXTE"/>
              <w:rPr>
                <w:rFonts w:ascii="Times New Roman" w:hAnsi="Times New Roman" w:cs="Times New Roman"/>
                <w:color w:val="000000"/>
                <w:spacing w:val="0"/>
                <w:sz w:val="18"/>
                <w:szCs w:val="18"/>
              </w:rPr>
            </w:pPr>
            <w:r w:rsidRPr="006F0F72">
              <w:rPr>
                <w:rFonts w:ascii="Times New Roman" w:hAnsi="Times New Roman" w:cs="Times New Roman"/>
                <w:color w:val="000000"/>
                <w:spacing w:val="0"/>
                <w:sz w:val="18"/>
                <w:szCs w:val="18"/>
                <w:lang w:val="en-GB"/>
              </w:rPr>
              <w:t xml:space="preserve"> </w:t>
            </w:r>
            <w:r w:rsidRPr="006F0F72">
              <w:rPr>
                <w:rFonts w:ascii="Times New Roman" w:hAnsi="Times New Roman" w:cs="Times New Roman"/>
                <w:color w:val="000000"/>
                <w:spacing w:val="0"/>
                <w:sz w:val="18"/>
                <w:szCs w:val="18"/>
              </w:rPr>
              <w:t>+ 33 1 44 13 21 22</w:t>
            </w:r>
            <w:r>
              <w:rPr>
                <w:rFonts w:ascii="Times New Roman" w:hAnsi="Times New Roman" w:cs="Times New Roman"/>
                <w:color w:val="000000"/>
                <w:spacing w:val="0"/>
                <w:sz w:val="18"/>
                <w:szCs w:val="18"/>
              </w:rPr>
              <w:t xml:space="preserve"> / </w:t>
            </w:r>
            <w:r w:rsidRPr="006F0F72">
              <w:rPr>
                <w:rFonts w:ascii="Times New Roman" w:hAnsi="Times New Roman" w:cs="Times New Roman"/>
                <w:color w:val="000000"/>
                <w:spacing w:val="0"/>
                <w:sz w:val="18"/>
                <w:szCs w:val="18"/>
              </w:rPr>
              <w:t>+ 33 1 44 13 2</w:t>
            </w:r>
            <w:r>
              <w:rPr>
                <w:rFonts w:ascii="Times New Roman" w:hAnsi="Times New Roman" w:cs="Times New Roman"/>
                <w:color w:val="000000"/>
                <w:spacing w:val="0"/>
                <w:sz w:val="18"/>
                <w:szCs w:val="18"/>
              </w:rPr>
              <w:t>7 21</w:t>
            </w:r>
          </w:p>
        </w:tc>
        <w:tc>
          <w:tcPr>
            <w:tcW w:w="4745" w:type="dxa"/>
            <w:tcBorders>
              <w:bottom w:val="single" w:sz="4" w:space="0" w:color="auto"/>
            </w:tcBorders>
            <w:shd w:val="clear" w:color="auto" w:fill="auto"/>
          </w:tcPr>
          <w:p w14:paraId="542B5526" w14:textId="77777777" w:rsidR="00F71827" w:rsidRPr="006F0F72" w:rsidRDefault="00F71827" w:rsidP="00B947BE">
            <w:pPr>
              <w:pStyle w:val="TEXTE"/>
              <w:rPr>
                <w:rFonts w:ascii="Times New Roman" w:hAnsi="Times New Roman" w:cs="Times New Roman"/>
                <w:b/>
                <w:bCs/>
                <w:color w:val="000000"/>
                <w:spacing w:val="0"/>
                <w:sz w:val="18"/>
                <w:szCs w:val="18"/>
              </w:rPr>
            </w:pPr>
            <w:r w:rsidRPr="006F0F72">
              <w:rPr>
                <w:rFonts w:ascii="Times New Roman" w:hAnsi="Times New Roman" w:cs="Times New Roman"/>
                <w:b/>
                <w:bCs/>
                <w:color w:val="000000"/>
                <w:spacing w:val="0"/>
                <w:sz w:val="18"/>
                <w:szCs w:val="18"/>
              </w:rPr>
              <w:t xml:space="preserve"> Media</w:t>
            </w:r>
          </w:p>
          <w:p w14:paraId="1D6E6F45" w14:textId="77777777" w:rsidR="00F71827" w:rsidRPr="006F0F72" w:rsidRDefault="00F71827" w:rsidP="00B947BE">
            <w:pPr>
              <w:pStyle w:val="TEXTE"/>
              <w:rPr>
                <w:rFonts w:ascii="Times New Roman" w:hAnsi="Times New Roman" w:cs="Times New Roman"/>
                <w:i/>
                <w:iCs/>
                <w:color w:val="000000"/>
                <w:spacing w:val="0"/>
                <w:sz w:val="18"/>
                <w:szCs w:val="18"/>
              </w:rPr>
            </w:pPr>
            <w:r w:rsidRPr="006F0F72">
              <w:rPr>
                <w:rFonts w:ascii="Times New Roman" w:hAnsi="Times New Roman" w:cs="Times New Roman"/>
                <w:i/>
                <w:iCs/>
                <w:color w:val="000000"/>
                <w:spacing w:val="0"/>
                <w:sz w:val="18"/>
                <w:szCs w:val="18"/>
              </w:rPr>
              <w:t xml:space="preserve"> Jean-Charles </w:t>
            </w:r>
            <w:proofErr w:type="spellStart"/>
            <w:r w:rsidRPr="006F0F72">
              <w:rPr>
                <w:rFonts w:ascii="Times New Roman" w:hAnsi="Times New Roman" w:cs="Times New Roman"/>
                <w:i/>
                <w:iCs/>
                <w:color w:val="000000"/>
                <w:spacing w:val="0"/>
                <w:sz w:val="18"/>
                <w:szCs w:val="18"/>
              </w:rPr>
              <w:t>Tréhan</w:t>
            </w:r>
            <w:proofErr w:type="spellEnd"/>
          </w:p>
          <w:p w14:paraId="30AF6317" w14:textId="77777777" w:rsidR="00F71827" w:rsidRPr="006F0F72" w:rsidRDefault="00F71827" w:rsidP="00B947BE">
            <w:pPr>
              <w:pStyle w:val="TEXTE"/>
              <w:rPr>
                <w:rFonts w:ascii="Times New Roman" w:hAnsi="Times New Roman" w:cs="Times New Roman"/>
                <w:color w:val="000000"/>
                <w:spacing w:val="0"/>
                <w:sz w:val="18"/>
                <w:szCs w:val="18"/>
              </w:rPr>
            </w:pPr>
            <w:r w:rsidRPr="006F0F72">
              <w:rPr>
                <w:rFonts w:ascii="Times New Roman" w:hAnsi="Times New Roman" w:cs="Times New Roman"/>
                <w:color w:val="000000"/>
                <w:spacing w:val="0"/>
                <w:sz w:val="18"/>
                <w:szCs w:val="18"/>
              </w:rPr>
              <w:t xml:space="preserve"> LVMH</w:t>
            </w:r>
          </w:p>
          <w:p w14:paraId="53792599" w14:textId="77777777" w:rsidR="00F71827" w:rsidRPr="006F0F72" w:rsidRDefault="00F71827" w:rsidP="00B947BE">
            <w:pPr>
              <w:pStyle w:val="TEXTE"/>
              <w:rPr>
                <w:rFonts w:ascii="Times New Roman" w:hAnsi="Times New Roman" w:cs="Times New Roman"/>
                <w:color w:val="000000"/>
                <w:spacing w:val="0"/>
                <w:sz w:val="18"/>
                <w:szCs w:val="18"/>
              </w:rPr>
            </w:pPr>
            <w:r w:rsidRPr="006F0F72">
              <w:rPr>
                <w:rFonts w:ascii="Times New Roman" w:hAnsi="Times New Roman" w:cs="Times New Roman"/>
                <w:color w:val="000000"/>
                <w:spacing w:val="0"/>
                <w:sz w:val="18"/>
                <w:szCs w:val="18"/>
              </w:rPr>
              <w:t xml:space="preserve"> + 33 1 44 13 26 20</w:t>
            </w:r>
          </w:p>
        </w:tc>
      </w:tr>
      <w:tr w:rsidR="00F71827" w:rsidRPr="006F0F72" w14:paraId="5A2AA640" w14:textId="77777777" w:rsidTr="00B947BE">
        <w:trPr>
          <w:trHeight w:val="303"/>
        </w:trPr>
        <w:tc>
          <w:tcPr>
            <w:tcW w:w="4503" w:type="dxa"/>
            <w:tcBorders>
              <w:top w:val="single" w:sz="4" w:space="0" w:color="auto"/>
              <w:left w:val="nil"/>
              <w:bottom w:val="single" w:sz="4" w:space="0" w:color="auto"/>
              <w:right w:val="nil"/>
            </w:tcBorders>
            <w:shd w:val="clear" w:color="auto" w:fill="auto"/>
          </w:tcPr>
          <w:p w14:paraId="5C4ED651" w14:textId="77777777" w:rsidR="00F71827" w:rsidRPr="006F0F72" w:rsidRDefault="00F71827" w:rsidP="00B947BE">
            <w:pPr>
              <w:pStyle w:val="TEXTE"/>
              <w:ind w:left="-142"/>
              <w:rPr>
                <w:rFonts w:ascii="Times New Roman" w:hAnsi="Times New Roman" w:cs="Times New Roman"/>
                <w:b/>
                <w:bCs/>
                <w:caps/>
                <w:color w:val="002855"/>
                <w:spacing w:val="0"/>
                <w:sz w:val="18"/>
                <w:szCs w:val="18"/>
              </w:rPr>
            </w:pPr>
          </w:p>
          <w:p w14:paraId="5780DB7C" w14:textId="77777777" w:rsidR="00F71827" w:rsidRPr="006F0F72" w:rsidRDefault="00F71827" w:rsidP="00B947BE">
            <w:pPr>
              <w:pStyle w:val="TEXTE"/>
              <w:rPr>
                <w:rFonts w:ascii="Times New Roman" w:hAnsi="Times New Roman" w:cs="Times New Roman"/>
                <w:b/>
                <w:bCs/>
                <w:color w:val="000000"/>
                <w:spacing w:val="0"/>
                <w:sz w:val="18"/>
                <w:szCs w:val="18"/>
              </w:rPr>
            </w:pPr>
            <w:r w:rsidRPr="006F0F72">
              <w:rPr>
                <w:rFonts w:ascii="Times New Roman" w:hAnsi="Times New Roman" w:cs="Times New Roman"/>
                <w:b/>
                <w:bCs/>
                <w:caps/>
                <w:color w:val="002855"/>
                <w:spacing w:val="0"/>
                <w:sz w:val="18"/>
                <w:szCs w:val="18"/>
              </w:rPr>
              <w:t xml:space="preserve">MEDIA CONTACTS </w:t>
            </w:r>
          </w:p>
        </w:tc>
        <w:tc>
          <w:tcPr>
            <w:tcW w:w="4745" w:type="dxa"/>
            <w:tcBorders>
              <w:top w:val="single" w:sz="4" w:space="0" w:color="auto"/>
              <w:left w:val="nil"/>
              <w:bottom w:val="single" w:sz="4" w:space="0" w:color="auto"/>
              <w:right w:val="nil"/>
            </w:tcBorders>
          </w:tcPr>
          <w:p w14:paraId="0570F9C5" w14:textId="77777777" w:rsidR="00F71827" w:rsidRPr="006F0F72" w:rsidRDefault="00F71827" w:rsidP="00B947BE">
            <w:pPr>
              <w:pStyle w:val="TEXTE"/>
              <w:rPr>
                <w:rFonts w:ascii="Times New Roman" w:hAnsi="Times New Roman" w:cs="Times New Roman"/>
                <w:b/>
                <w:bCs/>
                <w:color w:val="000000"/>
                <w:spacing w:val="0"/>
                <w:sz w:val="18"/>
                <w:szCs w:val="18"/>
              </w:rPr>
            </w:pPr>
          </w:p>
        </w:tc>
      </w:tr>
      <w:tr w:rsidR="00F71827" w:rsidRPr="006F0F72" w14:paraId="2204F5B6" w14:textId="77777777" w:rsidTr="00B947BE">
        <w:trPr>
          <w:trHeight w:val="915"/>
        </w:trPr>
        <w:tc>
          <w:tcPr>
            <w:tcW w:w="4503" w:type="dxa"/>
            <w:tcBorders>
              <w:top w:val="single" w:sz="4" w:space="0" w:color="auto"/>
            </w:tcBorders>
            <w:shd w:val="clear" w:color="auto" w:fill="auto"/>
          </w:tcPr>
          <w:p w14:paraId="3138BB1E" w14:textId="77777777" w:rsidR="00F71827" w:rsidRPr="006F0F72" w:rsidRDefault="00F71827" w:rsidP="00B947BE">
            <w:pPr>
              <w:pStyle w:val="TEXTE"/>
              <w:rPr>
                <w:rFonts w:ascii="Times New Roman" w:hAnsi="Times New Roman" w:cs="Times New Roman"/>
                <w:b/>
                <w:bCs/>
                <w:color w:val="000000"/>
                <w:spacing w:val="0"/>
                <w:sz w:val="18"/>
                <w:szCs w:val="18"/>
              </w:rPr>
            </w:pPr>
            <w:r w:rsidRPr="006F0F72">
              <w:rPr>
                <w:rFonts w:ascii="Times New Roman" w:hAnsi="Times New Roman" w:cs="Times New Roman"/>
                <w:b/>
                <w:bCs/>
                <w:color w:val="000000"/>
                <w:spacing w:val="0"/>
                <w:sz w:val="18"/>
                <w:szCs w:val="18"/>
              </w:rPr>
              <w:t xml:space="preserve"> France</w:t>
            </w:r>
          </w:p>
          <w:p w14:paraId="686F4DE1" w14:textId="77777777" w:rsidR="00F71827" w:rsidRPr="00976BCA" w:rsidRDefault="00F71827" w:rsidP="00B947BE">
            <w:pPr>
              <w:pStyle w:val="TEXTE"/>
              <w:rPr>
                <w:rFonts w:ascii="Times New Roman" w:hAnsi="Times New Roman" w:cs="Times New Roman"/>
                <w:i/>
                <w:iCs/>
                <w:color w:val="000000"/>
                <w:spacing w:val="0"/>
                <w:sz w:val="18"/>
                <w:szCs w:val="18"/>
              </w:rPr>
            </w:pPr>
            <w:r>
              <w:rPr>
                <w:rFonts w:ascii="Times New Roman" w:hAnsi="Times New Roman" w:cs="Times New Roman"/>
                <w:i/>
                <w:iCs/>
                <w:color w:val="000000"/>
                <w:spacing w:val="0"/>
                <w:sz w:val="18"/>
                <w:szCs w:val="18"/>
              </w:rPr>
              <w:t xml:space="preserve"> </w:t>
            </w:r>
            <w:r w:rsidRPr="00976BCA">
              <w:rPr>
                <w:rFonts w:ascii="Times New Roman" w:hAnsi="Times New Roman" w:cs="Times New Roman"/>
                <w:i/>
                <w:iCs/>
                <w:color w:val="000000"/>
                <w:spacing w:val="0"/>
                <w:sz w:val="18"/>
                <w:szCs w:val="18"/>
              </w:rPr>
              <w:t xml:space="preserve">Charlotte Mariné / </w:t>
            </w:r>
            <w:r w:rsidRPr="009C0533">
              <w:rPr>
                <w:rFonts w:ascii="Times New Roman" w:hAnsi="Times New Roman" w:cs="Times New Roman"/>
                <w:color w:val="000000"/>
                <w:spacing w:val="0"/>
                <w:sz w:val="18"/>
                <w:szCs w:val="18"/>
              </w:rPr>
              <w:t>+33 6 75 30 43 91</w:t>
            </w:r>
          </w:p>
          <w:p w14:paraId="110BA4BB" w14:textId="77777777" w:rsidR="00F71827" w:rsidRPr="00976BCA" w:rsidRDefault="00F71827" w:rsidP="00B947BE">
            <w:pPr>
              <w:pStyle w:val="TEXTE"/>
              <w:rPr>
                <w:rFonts w:ascii="Times New Roman" w:hAnsi="Times New Roman" w:cs="Times New Roman"/>
                <w:i/>
                <w:iCs/>
                <w:color w:val="000000"/>
                <w:spacing w:val="0"/>
                <w:sz w:val="18"/>
                <w:szCs w:val="18"/>
              </w:rPr>
            </w:pPr>
            <w:r w:rsidRPr="00976BCA">
              <w:rPr>
                <w:rFonts w:ascii="Times New Roman" w:hAnsi="Times New Roman" w:cs="Times New Roman"/>
                <w:i/>
                <w:iCs/>
                <w:color w:val="000000"/>
                <w:spacing w:val="0"/>
                <w:sz w:val="18"/>
                <w:szCs w:val="18"/>
              </w:rPr>
              <w:t xml:space="preserve">Axelle </w:t>
            </w:r>
            <w:proofErr w:type="spellStart"/>
            <w:r w:rsidRPr="00976BCA">
              <w:rPr>
                <w:rFonts w:ascii="Times New Roman" w:hAnsi="Times New Roman" w:cs="Times New Roman"/>
                <w:i/>
                <w:iCs/>
                <w:color w:val="000000"/>
                <w:spacing w:val="0"/>
                <w:sz w:val="18"/>
                <w:szCs w:val="18"/>
              </w:rPr>
              <w:t>Gadala</w:t>
            </w:r>
            <w:proofErr w:type="spellEnd"/>
            <w:r w:rsidRPr="00976BCA">
              <w:rPr>
                <w:rFonts w:ascii="Times New Roman" w:hAnsi="Times New Roman" w:cs="Times New Roman"/>
                <w:i/>
                <w:iCs/>
                <w:color w:val="000000"/>
                <w:spacing w:val="0"/>
                <w:sz w:val="18"/>
                <w:szCs w:val="18"/>
              </w:rPr>
              <w:t xml:space="preserve"> / </w:t>
            </w:r>
            <w:r w:rsidRPr="009C0533">
              <w:rPr>
                <w:rFonts w:ascii="Times New Roman" w:hAnsi="Times New Roman" w:cs="Times New Roman"/>
                <w:color w:val="000000"/>
                <w:spacing w:val="0"/>
                <w:sz w:val="18"/>
                <w:szCs w:val="18"/>
              </w:rPr>
              <w:t>+33 6 89 01 07 60</w:t>
            </w:r>
          </w:p>
          <w:p w14:paraId="06BB544E" w14:textId="77777777" w:rsidR="00F71827" w:rsidRPr="00976BCA" w:rsidRDefault="00F71827" w:rsidP="00B947BE">
            <w:pPr>
              <w:pStyle w:val="TEXTE"/>
              <w:rPr>
                <w:rFonts w:ascii="Times New Roman" w:hAnsi="Times New Roman" w:cs="Times New Roman"/>
                <w:color w:val="000000"/>
                <w:spacing w:val="0"/>
                <w:sz w:val="18"/>
                <w:szCs w:val="18"/>
              </w:rPr>
            </w:pPr>
            <w:r w:rsidRPr="00976BCA">
              <w:rPr>
                <w:rFonts w:ascii="Times New Roman" w:hAnsi="Times New Roman" w:cs="Times New Roman"/>
                <w:color w:val="000000"/>
                <w:spacing w:val="0"/>
                <w:sz w:val="18"/>
                <w:szCs w:val="18"/>
              </w:rPr>
              <w:t>Publicis Consultants</w:t>
            </w:r>
          </w:p>
          <w:p w14:paraId="5B9DFAEB" w14:textId="77777777" w:rsidR="00F71827" w:rsidRPr="009C0533" w:rsidRDefault="00F71827" w:rsidP="00B947BE">
            <w:pPr>
              <w:pStyle w:val="TEXTE"/>
              <w:rPr>
                <w:rFonts w:ascii="Times New Roman" w:hAnsi="Times New Roman" w:cs="Times New Roman"/>
                <w:color w:val="000000"/>
                <w:spacing w:val="0"/>
                <w:sz w:val="18"/>
                <w:szCs w:val="18"/>
              </w:rPr>
            </w:pPr>
            <w:r w:rsidRPr="009C0533">
              <w:rPr>
                <w:rFonts w:ascii="Times New Roman" w:hAnsi="Times New Roman" w:cs="Times New Roman"/>
                <w:color w:val="000000"/>
                <w:spacing w:val="0"/>
                <w:sz w:val="18"/>
                <w:szCs w:val="18"/>
              </w:rPr>
              <w:t>+33 1 44 82 46 05</w:t>
            </w:r>
          </w:p>
        </w:tc>
        <w:tc>
          <w:tcPr>
            <w:tcW w:w="4745" w:type="dxa"/>
            <w:tcBorders>
              <w:top w:val="single" w:sz="4" w:space="0" w:color="auto"/>
            </w:tcBorders>
            <w:shd w:val="clear" w:color="auto" w:fill="auto"/>
          </w:tcPr>
          <w:p w14:paraId="56AFE741" w14:textId="77777777" w:rsidR="00F71827" w:rsidRPr="006F0F72" w:rsidRDefault="00F71827" w:rsidP="00B947BE">
            <w:pPr>
              <w:pStyle w:val="TEXTE"/>
              <w:rPr>
                <w:rFonts w:ascii="Times New Roman" w:hAnsi="Times New Roman" w:cs="Times New Roman"/>
                <w:b/>
                <w:bCs/>
                <w:color w:val="000000"/>
                <w:spacing w:val="0"/>
                <w:sz w:val="18"/>
                <w:szCs w:val="18"/>
              </w:rPr>
            </w:pPr>
            <w:r w:rsidRPr="006F0F72">
              <w:rPr>
                <w:rFonts w:ascii="Times New Roman" w:hAnsi="Times New Roman" w:cs="Times New Roman"/>
                <w:b/>
                <w:bCs/>
                <w:color w:val="000000"/>
                <w:spacing w:val="0"/>
                <w:sz w:val="18"/>
                <w:szCs w:val="18"/>
              </w:rPr>
              <w:t xml:space="preserve"> France</w:t>
            </w:r>
          </w:p>
          <w:p w14:paraId="3547994E" w14:textId="77777777" w:rsidR="00F71827" w:rsidRPr="00A24325" w:rsidRDefault="00F71827" w:rsidP="00B947BE">
            <w:pPr>
              <w:rPr>
                <w:i/>
                <w:iCs/>
                <w:color w:val="000000"/>
                <w:sz w:val="18"/>
                <w:szCs w:val="18"/>
                <w:lang w:val="it-IT"/>
              </w:rPr>
            </w:pPr>
            <w:r w:rsidRPr="00F71827">
              <w:rPr>
                <w:i/>
                <w:iCs/>
                <w:color w:val="000000"/>
                <w:sz w:val="18"/>
                <w:szCs w:val="18"/>
                <w:lang w:val="fr-FR"/>
              </w:rPr>
              <w:t xml:space="preserve"> </w:t>
            </w:r>
            <w:r w:rsidRPr="00A24325">
              <w:rPr>
                <w:i/>
                <w:iCs/>
                <w:color w:val="000000"/>
                <w:sz w:val="18"/>
                <w:szCs w:val="18"/>
                <w:lang w:val="it-IT"/>
              </w:rPr>
              <w:t xml:space="preserve">Michel </w:t>
            </w:r>
            <w:proofErr w:type="spellStart"/>
            <w:r w:rsidRPr="00A24325">
              <w:rPr>
                <w:i/>
                <w:iCs/>
                <w:color w:val="000000"/>
                <w:sz w:val="18"/>
                <w:szCs w:val="18"/>
                <w:lang w:val="it-IT"/>
              </w:rPr>
              <w:t>Calzaroni</w:t>
            </w:r>
            <w:proofErr w:type="spellEnd"/>
            <w:r w:rsidRPr="00A24325">
              <w:rPr>
                <w:i/>
                <w:iCs/>
                <w:color w:val="000000"/>
                <w:sz w:val="18"/>
                <w:szCs w:val="18"/>
                <w:lang w:val="it-IT"/>
              </w:rPr>
              <w:t xml:space="preserve"> / </w:t>
            </w:r>
            <w:r w:rsidRPr="00F71827">
              <w:rPr>
                <w:color w:val="000000"/>
                <w:spacing w:val="2"/>
                <w:sz w:val="18"/>
                <w:szCs w:val="18"/>
                <w:lang w:val="fr-FR"/>
              </w:rPr>
              <w:t>+ 33 6 07 34 20 14</w:t>
            </w:r>
          </w:p>
          <w:p w14:paraId="16D1265F" w14:textId="77777777" w:rsidR="00F71827" w:rsidRDefault="00F71827" w:rsidP="00B947BE">
            <w:pPr>
              <w:pStyle w:val="TEXTE"/>
              <w:rPr>
                <w:rFonts w:ascii="Times New Roman" w:hAnsi="Times New Roman" w:cs="Times New Roman"/>
                <w:color w:val="000000"/>
                <w:sz w:val="18"/>
                <w:szCs w:val="18"/>
              </w:rPr>
            </w:pPr>
            <w:r w:rsidRPr="00A24325">
              <w:rPr>
                <w:rFonts w:ascii="Times New Roman" w:hAnsi="Times New Roman" w:cs="Times New Roman"/>
                <w:i/>
                <w:iCs/>
                <w:color w:val="000000"/>
                <w:sz w:val="18"/>
                <w:szCs w:val="18"/>
                <w:lang w:val="it-IT"/>
              </w:rPr>
              <w:t xml:space="preserve">Olivier </w:t>
            </w:r>
            <w:proofErr w:type="spellStart"/>
            <w:r w:rsidRPr="00A24325">
              <w:rPr>
                <w:rFonts w:ascii="Times New Roman" w:hAnsi="Times New Roman" w:cs="Times New Roman"/>
                <w:i/>
                <w:iCs/>
                <w:color w:val="000000"/>
                <w:sz w:val="18"/>
                <w:szCs w:val="18"/>
                <w:lang w:val="it-IT"/>
              </w:rPr>
              <w:t>Labesse</w:t>
            </w:r>
            <w:proofErr w:type="spellEnd"/>
            <w:r w:rsidRPr="00A24325">
              <w:rPr>
                <w:rFonts w:ascii="Times New Roman" w:hAnsi="Times New Roman" w:cs="Times New Roman"/>
                <w:i/>
                <w:iCs/>
                <w:color w:val="000000"/>
                <w:sz w:val="18"/>
                <w:szCs w:val="18"/>
                <w:lang w:val="it-IT"/>
              </w:rPr>
              <w:t xml:space="preserve"> / </w:t>
            </w:r>
            <w:r w:rsidRPr="00A24325">
              <w:rPr>
                <w:rFonts w:ascii="Times New Roman" w:hAnsi="Times New Roman" w:cs="Times New Roman"/>
                <w:i/>
                <w:iCs/>
                <w:color w:val="000000"/>
                <w:sz w:val="18"/>
                <w:szCs w:val="18"/>
              </w:rPr>
              <w:t xml:space="preserve">Hugues Schmitt / Thomas </w:t>
            </w:r>
            <w:proofErr w:type="spellStart"/>
            <w:r w:rsidRPr="00A24325">
              <w:rPr>
                <w:rFonts w:ascii="Times New Roman" w:hAnsi="Times New Roman" w:cs="Times New Roman"/>
                <w:i/>
                <w:iCs/>
                <w:color w:val="000000"/>
                <w:sz w:val="18"/>
                <w:szCs w:val="18"/>
              </w:rPr>
              <w:t>Roborel</w:t>
            </w:r>
            <w:proofErr w:type="spellEnd"/>
            <w:r w:rsidRPr="00A24325">
              <w:rPr>
                <w:rFonts w:ascii="Times New Roman" w:hAnsi="Times New Roman" w:cs="Times New Roman"/>
                <w:i/>
                <w:iCs/>
                <w:color w:val="000000"/>
                <w:sz w:val="18"/>
                <w:szCs w:val="18"/>
              </w:rPr>
              <w:t xml:space="preserve"> de </w:t>
            </w:r>
            <w:proofErr w:type="spellStart"/>
            <w:r w:rsidRPr="00A24325">
              <w:rPr>
                <w:rFonts w:ascii="Times New Roman" w:hAnsi="Times New Roman" w:cs="Times New Roman"/>
                <w:i/>
                <w:iCs/>
                <w:color w:val="000000"/>
                <w:sz w:val="18"/>
                <w:szCs w:val="18"/>
              </w:rPr>
              <w:t>Climens</w:t>
            </w:r>
            <w:proofErr w:type="spellEnd"/>
            <w:r w:rsidRPr="00A24325">
              <w:rPr>
                <w:rFonts w:ascii="Times New Roman" w:hAnsi="Times New Roman" w:cs="Times New Roman"/>
                <w:i/>
                <w:iCs/>
                <w:color w:val="000000"/>
                <w:sz w:val="18"/>
                <w:szCs w:val="18"/>
              </w:rPr>
              <w:t xml:space="preserve"> </w:t>
            </w:r>
            <w:r w:rsidRPr="00A24325">
              <w:rPr>
                <w:rFonts w:ascii="Times New Roman" w:hAnsi="Times New Roman" w:cs="Times New Roman"/>
                <w:color w:val="000000"/>
                <w:sz w:val="18"/>
                <w:szCs w:val="18"/>
              </w:rPr>
              <w:t>/</w:t>
            </w:r>
          </w:p>
          <w:p w14:paraId="70B9C69A" w14:textId="77777777" w:rsidR="00F71827" w:rsidRPr="00A24325" w:rsidRDefault="00F71827" w:rsidP="00B947BE">
            <w:pPr>
              <w:pStyle w:val="TEXTE"/>
              <w:rPr>
                <w:rFonts w:ascii="Times New Roman" w:hAnsi="Times New Roman" w:cs="Times New Roman"/>
                <w:color w:val="000000"/>
                <w:spacing w:val="0"/>
                <w:sz w:val="18"/>
                <w:szCs w:val="18"/>
              </w:rPr>
            </w:pPr>
            <w:r w:rsidRPr="00A24325">
              <w:rPr>
                <w:rFonts w:ascii="Times New Roman" w:hAnsi="Times New Roman" w:cs="Times New Roman"/>
                <w:color w:val="000000"/>
                <w:sz w:val="18"/>
                <w:szCs w:val="18"/>
              </w:rPr>
              <w:t xml:space="preserve"> + 33 6 79 11 49 71</w:t>
            </w:r>
          </w:p>
        </w:tc>
      </w:tr>
      <w:tr w:rsidR="00F71827" w:rsidRPr="006F0F72" w14:paraId="45D21FFB" w14:textId="77777777" w:rsidTr="00B947BE">
        <w:trPr>
          <w:trHeight w:val="816"/>
        </w:trPr>
        <w:tc>
          <w:tcPr>
            <w:tcW w:w="4503" w:type="dxa"/>
            <w:shd w:val="clear" w:color="auto" w:fill="auto"/>
          </w:tcPr>
          <w:p w14:paraId="33531305" w14:textId="77777777" w:rsidR="00F71827" w:rsidRPr="006F0F72" w:rsidRDefault="00F71827" w:rsidP="00B947BE">
            <w:pPr>
              <w:pStyle w:val="TEXTE"/>
              <w:rPr>
                <w:rFonts w:ascii="Times New Roman" w:hAnsi="Times New Roman" w:cs="Times New Roman"/>
                <w:b/>
                <w:bCs/>
                <w:color w:val="000000"/>
                <w:spacing w:val="0"/>
                <w:sz w:val="18"/>
                <w:szCs w:val="18"/>
                <w:lang w:val="de-DE"/>
              </w:rPr>
            </w:pPr>
            <w:r w:rsidRPr="006F0F72">
              <w:rPr>
                <w:rFonts w:ascii="Times New Roman" w:hAnsi="Times New Roman" w:cs="Times New Roman"/>
                <w:b/>
                <w:bCs/>
                <w:color w:val="000000"/>
                <w:spacing w:val="0"/>
                <w:sz w:val="18"/>
                <w:szCs w:val="18"/>
                <w:lang w:val="de-DE"/>
              </w:rPr>
              <w:t xml:space="preserve"> </w:t>
            </w:r>
            <w:proofErr w:type="spellStart"/>
            <w:r w:rsidRPr="006F0F72">
              <w:rPr>
                <w:rFonts w:ascii="Times New Roman" w:hAnsi="Times New Roman" w:cs="Times New Roman"/>
                <w:b/>
                <w:bCs/>
                <w:color w:val="000000"/>
                <w:spacing w:val="0"/>
                <w:sz w:val="18"/>
                <w:szCs w:val="18"/>
                <w:lang w:val="de-DE"/>
              </w:rPr>
              <w:t>Italy</w:t>
            </w:r>
            <w:proofErr w:type="spellEnd"/>
          </w:p>
          <w:p w14:paraId="150D80BC" w14:textId="77777777" w:rsidR="00F71827" w:rsidRPr="006F0F72" w:rsidRDefault="00F71827" w:rsidP="00B947BE">
            <w:pPr>
              <w:pStyle w:val="TEXTE"/>
              <w:rPr>
                <w:rFonts w:ascii="Times New Roman" w:hAnsi="Times New Roman" w:cs="Times New Roman"/>
                <w:i/>
                <w:iCs/>
                <w:color w:val="000000"/>
                <w:spacing w:val="0"/>
                <w:sz w:val="18"/>
                <w:szCs w:val="18"/>
                <w:lang w:val="de-DE"/>
              </w:rPr>
            </w:pPr>
            <w:r w:rsidRPr="006F0F72">
              <w:rPr>
                <w:rFonts w:ascii="Times New Roman" w:hAnsi="Times New Roman" w:cs="Times New Roman"/>
                <w:i/>
                <w:iCs/>
                <w:color w:val="000000"/>
                <w:spacing w:val="0"/>
                <w:sz w:val="18"/>
                <w:szCs w:val="18"/>
                <w:lang w:val="de-DE"/>
              </w:rPr>
              <w:t xml:space="preserve"> Michele </w:t>
            </w:r>
            <w:proofErr w:type="spellStart"/>
            <w:r w:rsidRPr="006F0F72">
              <w:rPr>
                <w:rFonts w:ascii="Times New Roman" w:hAnsi="Times New Roman" w:cs="Times New Roman"/>
                <w:i/>
                <w:iCs/>
                <w:color w:val="000000"/>
                <w:spacing w:val="0"/>
                <w:sz w:val="18"/>
                <w:szCs w:val="18"/>
                <w:lang w:val="de-DE"/>
              </w:rPr>
              <w:t>Calcaterra</w:t>
            </w:r>
            <w:proofErr w:type="spellEnd"/>
            <w:r>
              <w:rPr>
                <w:rFonts w:ascii="Times New Roman" w:hAnsi="Times New Roman" w:cs="Times New Roman"/>
                <w:i/>
                <w:iCs/>
                <w:color w:val="000000"/>
                <w:spacing w:val="0"/>
                <w:sz w:val="18"/>
                <w:szCs w:val="18"/>
                <w:lang w:val="de-DE"/>
              </w:rPr>
              <w:t xml:space="preserve"> / </w:t>
            </w:r>
            <w:r w:rsidRPr="006F0F72">
              <w:rPr>
                <w:rFonts w:ascii="Times New Roman" w:hAnsi="Times New Roman" w:cs="Times New Roman"/>
                <w:i/>
                <w:iCs/>
                <w:color w:val="000000"/>
                <w:spacing w:val="0"/>
                <w:sz w:val="18"/>
                <w:szCs w:val="18"/>
                <w:lang w:val="de-DE"/>
              </w:rPr>
              <w:t>Matteo Steinbach</w:t>
            </w:r>
          </w:p>
          <w:p w14:paraId="42105E93" w14:textId="77777777" w:rsidR="00F71827" w:rsidRPr="006F0F72" w:rsidRDefault="00F71827" w:rsidP="00B947BE">
            <w:pPr>
              <w:pStyle w:val="TEXTE"/>
              <w:rPr>
                <w:rFonts w:ascii="Times New Roman" w:hAnsi="Times New Roman" w:cs="Times New Roman"/>
                <w:color w:val="000000"/>
                <w:spacing w:val="0"/>
                <w:sz w:val="18"/>
                <w:szCs w:val="18"/>
                <w:lang w:val="de-DE"/>
              </w:rPr>
            </w:pPr>
            <w:r w:rsidRPr="006F0F72">
              <w:rPr>
                <w:rFonts w:ascii="Times New Roman" w:hAnsi="Times New Roman" w:cs="Times New Roman"/>
                <w:color w:val="000000"/>
                <w:spacing w:val="0"/>
                <w:sz w:val="18"/>
                <w:szCs w:val="18"/>
                <w:lang w:val="de-DE"/>
              </w:rPr>
              <w:t xml:space="preserve"> SEC and Partners</w:t>
            </w:r>
          </w:p>
          <w:p w14:paraId="090902AD" w14:textId="77777777" w:rsidR="00F71827" w:rsidRPr="006F0F72" w:rsidRDefault="00F71827" w:rsidP="00B947BE">
            <w:pPr>
              <w:pStyle w:val="TEXTE"/>
              <w:rPr>
                <w:rFonts w:ascii="Times New Roman" w:hAnsi="Times New Roman" w:cs="Times New Roman"/>
                <w:color w:val="000000"/>
                <w:spacing w:val="0"/>
                <w:sz w:val="18"/>
                <w:szCs w:val="18"/>
                <w:lang w:val="en-US"/>
              </w:rPr>
            </w:pPr>
            <w:r w:rsidRPr="006F0F72">
              <w:rPr>
                <w:rFonts w:ascii="Times New Roman" w:hAnsi="Times New Roman" w:cs="Times New Roman"/>
                <w:color w:val="000000"/>
                <w:spacing w:val="0"/>
                <w:sz w:val="18"/>
                <w:szCs w:val="18"/>
                <w:lang w:val="en-US"/>
              </w:rPr>
              <w:t xml:space="preserve"> + 39 02 6249991</w:t>
            </w:r>
          </w:p>
        </w:tc>
        <w:tc>
          <w:tcPr>
            <w:tcW w:w="4745" w:type="dxa"/>
            <w:shd w:val="clear" w:color="auto" w:fill="auto"/>
          </w:tcPr>
          <w:p w14:paraId="39B84F16" w14:textId="77777777" w:rsidR="00F71827" w:rsidRPr="006F0F72" w:rsidRDefault="00F71827" w:rsidP="00B947BE">
            <w:pPr>
              <w:pStyle w:val="TEXTE"/>
              <w:rPr>
                <w:rFonts w:ascii="Times New Roman" w:hAnsi="Times New Roman" w:cs="Times New Roman"/>
                <w:b/>
                <w:bCs/>
                <w:color w:val="000000"/>
                <w:spacing w:val="0"/>
                <w:sz w:val="18"/>
                <w:szCs w:val="18"/>
              </w:rPr>
            </w:pPr>
            <w:r w:rsidRPr="006F0F72">
              <w:rPr>
                <w:rFonts w:ascii="Times New Roman" w:hAnsi="Times New Roman" w:cs="Times New Roman"/>
                <w:b/>
                <w:bCs/>
                <w:color w:val="000000"/>
                <w:spacing w:val="0"/>
                <w:sz w:val="18"/>
                <w:szCs w:val="18"/>
              </w:rPr>
              <w:t>UK</w:t>
            </w:r>
          </w:p>
          <w:p w14:paraId="6EBEC738" w14:textId="77777777" w:rsidR="00F71827" w:rsidRPr="006F0F72" w:rsidRDefault="00F71827" w:rsidP="00B947BE">
            <w:pPr>
              <w:pStyle w:val="TEXTE"/>
              <w:rPr>
                <w:rFonts w:ascii="Times New Roman" w:hAnsi="Times New Roman" w:cs="Times New Roman"/>
                <w:i/>
                <w:iCs/>
                <w:color w:val="000000"/>
                <w:spacing w:val="0"/>
                <w:sz w:val="18"/>
                <w:szCs w:val="18"/>
              </w:rPr>
            </w:pPr>
            <w:r>
              <w:rPr>
                <w:rFonts w:ascii="Times New Roman" w:hAnsi="Times New Roman" w:cs="Times New Roman"/>
                <w:i/>
                <w:iCs/>
                <w:color w:val="000000"/>
                <w:spacing w:val="0"/>
                <w:sz w:val="18"/>
                <w:szCs w:val="18"/>
              </w:rPr>
              <w:t xml:space="preserve"> </w:t>
            </w:r>
            <w:r w:rsidRPr="006F0F72">
              <w:rPr>
                <w:rFonts w:ascii="Times New Roman" w:hAnsi="Times New Roman" w:cs="Times New Roman"/>
                <w:i/>
                <w:iCs/>
                <w:color w:val="000000"/>
                <w:spacing w:val="0"/>
                <w:sz w:val="18"/>
                <w:szCs w:val="18"/>
              </w:rPr>
              <w:t>Hugh Morrison</w:t>
            </w:r>
            <w:r>
              <w:rPr>
                <w:rFonts w:ascii="Times New Roman" w:hAnsi="Times New Roman" w:cs="Times New Roman"/>
                <w:i/>
                <w:iCs/>
                <w:color w:val="000000"/>
                <w:spacing w:val="0"/>
                <w:sz w:val="18"/>
                <w:szCs w:val="18"/>
              </w:rPr>
              <w:t xml:space="preserve"> /</w:t>
            </w:r>
            <w:r w:rsidRPr="006F0F72">
              <w:rPr>
                <w:rFonts w:ascii="Times New Roman" w:hAnsi="Times New Roman" w:cs="Times New Roman"/>
                <w:i/>
                <w:iCs/>
                <w:color w:val="000000"/>
                <w:spacing w:val="0"/>
                <w:sz w:val="18"/>
                <w:szCs w:val="18"/>
              </w:rPr>
              <w:t xml:space="preserve"> Charlotte </w:t>
            </w:r>
            <w:proofErr w:type="spellStart"/>
            <w:r w:rsidRPr="006F0F72">
              <w:rPr>
                <w:rFonts w:ascii="Times New Roman" w:hAnsi="Times New Roman" w:cs="Times New Roman"/>
                <w:i/>
                <w:iCs/>
                <w:color w:val="000000"/>
                <w:spacing w:val="0"/>
                <w:sz w:val="18"/>
                <w:szCs w:val="18"/>
              </w:rPr>
              <w:t>McMullen</w:t>
            </w:r>
            <w:proofErr w:type="spellEnd"/>
          </w:p>
          <w:p w14:paraId="27EDB372" w14:textId="77777777" w:rsidR="00F71827" w:rsidRPr="006F0F72" w:rsidRDefault="00F71827" w:rsidP="00B947BE">
            <w:pPr>
              <w:pStyle w:val="TEXTE"/>
              <w:rPr>
                <w:rFonts w:ascii="Times New Roman" w:hAnsi="Times New Roman" w:cs="Times New Roman"/>
                <w:color w:val="000000"/>
                <w:spacing w:val="0"/>
                <w:sz w:val="18"/>
                <w:szCs w:val="18"/>
              </w:rPr>
            </w:pPr>
            <w:r w:rsidRPr="006F0F72">
              <w:rPr>
                <w:rFonts w:ascii="Times New Roman" w:hAnsi="Times New Roman" w:cs="Times New Roman"/>
                <w:color w:val="000000"/>
                <w:spacing w:val="0"/>
                <w:sz w:val="18"/>
                <w:szCs w:val="18"/>
              </w:rPr>
              <w:t xml:space="preserve"> Montfort Communications</w:t>
            </w:r>
          </w:p>
          <w:p w14:paraId="6509D8E1" w14:textId="77777777" w:rsidR="00F71827" w:rsidRPr="006F0F72" w:rsidRDefault="00F71827" w:rsidP="00B947BE">
            <w:pPr>
              <w:pStyle w:val="TEXTE"/>
              <w:rPr>
                <w:rFonts w:ascii="Times New Roman" w:hAnsi="Times New Roman" w:cs="Times New Roman"/>
                <w:color w:val="000000"/>
                <w:spacing w:val="0"/>
                <w:sz w:val="18"/>
                <w:szCs w:val="18"/>
              </w:rPr>
            </w:pPr>
            <w:r w:rsidRPr="006F0F72">
              <w:rPr>
                <w:rFonts w:ascii="Times New Roman" w:hAnsi="Times New Roman" w:cs="Times New Roman"/>
                <w:color w:val="000000"/>
                <w:spacing w:val="0"/>
                <w:sz w:val="18"/>
                <w:szCs w:val="18"/>
              </w:rPr>
              <w:t xml:space="preserve"> </w:t>
            </w:r>
            <w:r w:rsidRPr="006F0F72">
              <w:rPr>
                <w:rFonts w:ascii="Times New Roman" w:hAnsi="Times New Roman" w:cs="Times New Roman"/>
                <w:color w:val="000000"/>
                <w:spacing w:val="0"/>
                <w:sz w:val="18"/>
                <w:szCs w:val="18"/>
                <w:lang w:val="en-US"/>
              </w:rPr>
              <w:t>+ 44 7921 881 800</w:t>
            </w:r>
          </w:p>
        </w:tc>
      </w:tr>
      <w:tr w:rsidR="00F71827" w:rsidRPr="006F0F72" w14:paraId="1ACD2C11" w14:textId="77777777" w:rsidTr="00B947BE">
        <w:trPr>
          <w:trHeight w:val="816"/>
        </w:trPr>
        <w:tc>
          <w:tcPr>
            <w:tcW w:w="4503" w:type="dxa"/>
            <w:shd w:val="clear" w:color="auto" w:fill="auto"/>
          </w:tcPr>
          <w:p w14:paraId="2921BDC5" w14:textId="77777777" w:rsidR="00F71827" w:rsidRPr="00C75FA2" w:rsidRDefault="00F71827" w:rsidP="00B947BE">
            <w:pPr>
              <w:pStyle w:val="TEXTE"/>
              <w:rPr>
                <w:rFonts w:ascii="Times New Roman" w:hAnsi="Times New Roman" w:cs="Times New Roman"/>
                <w:b/>
                <w:bCs/>
                <w:color w:val="auto"/>
                <w:spacing w:val="0"/>
                <w:sz w:val="18"/>
                <w:szCs w:val="18"/>
                <w:lang w:val="en-US"/>
              </w:rPr>
            </w:pPr>
            <w:r w:rsidRPr="006F0F72">
              <w:rPr>
                <w:rFonts w:ascii="Times New Roman" w:hAnsi="Times New Roman" w:cs="Times New Roman"/>
                <w:b/>
                <w:bCs/>
                <w:color w:val="000000"/>
                <w:spacing w:val="0"/>
                <w:sz w:val="18"/>
                <w:szCs w:val="18"/>
                <w:lang w:val="en-US"/>
              </w:rPr>
              <w:t xml:space="preserve"> </w:t>
            </w:r>
            <w:r w:rsidRPr="00C75FA2">
              <w:rPr>
                <w:rFonts w:ascii="Times New Roman" w:hAnsi="Times New Roman" w:cs="Times New Roman"/>
                <w:b/>
                <w:bCs/>
                <w:color w:val="auto"/>
                <w:spacing w:val="0"/>
                <w:sz w:val="18"/>
                <w:szCs w:val="18"/>
                <w:lang w:val="en-US"/>
              </w:rPr>
              <w:t>US</w:t>
            </w:r>
          </w:p>
          <w:p w14:paraId="0E7A0363" w14:textId="77777777" w:rsidR="00F71827" w:rsidRPr="00C75FA2" w:rsidRDefault="00F71827" w:rsidP="00B947BE">
            <w:pPr>
              <w:autoSpaceDE w:val="0"/>
              <w:autoSpaceDN w:val="0"/>
              <w:rPr>
                <w:i/>
                <w:iCs/>
                <w:sz w:val="18"/>
                <w:szCs w:val="18"/>
              </w:rPr>
            </w:pPr>
            <w:r>
              <w:rPr>
                <w:i/>
                <w:iCs/>
                <w:sz w:val="18"/>
                <w:szCs w:val="18"/>
              </w:rPr>
              <w:t xml:space="preserve"> </w:t>
            </w:r>
            <w:r w:rsidRPr="00C75FA2">
              <w:rPr>
                <w:i/>
                <w:iCs/>
                <w:sz w:val="18"/>
                <w:szCs w:val="18"/>
              </w:rPr>
              <w:t xml:space="preserve">Nik </w:t>
            </w:r>
            <w:proofErr w:type="spellStart"/>
            <w:r w:rsidRPr="00C75FA2">
              <w:rPr>
                <w:i/>
                <w:iCs/>
                <w:sz w:val="18"/>
                <w:szCs w:val="18"/>
              </w:rPr>
              <w:t>Deogun</w:t>
            </w:r>
            <w:proofErr w:type="spellEnd"/>
            <w:r w:rsidRPr="00C75FA2">
              <w:rPr>
                <w:i/>
                <w:iCs/>
                <w:sz w:val="18"/>
                <w:szCs w:val="18"/>
              </w:rPr>
              <w:t xml:space="preserve"> / Blake </w:t>
            </w:r>
            <w:proofErr w:type="spellStart"/>
            <w:r w:rsidRPr="00C75FA2">
              <w:rPr>
                <w:i/>
                <w:iCs/>
                <w:sz w:val="18"/>
                <w:szCs w:val="18"/>
              </w:rPr>
              <w:t>Sonnenshein</w:t>
            </w:r>
            <w:proofErr w:type="spellEnd"/>
          </w:p>
          <w:p w14:paraId="79E0B81D" w14:textId="77777777" w:rsidR="00F71827" w:rsidRPr="00C75FA2" w:rsidRDefault="00F71827" w:rsidP="00B947BE">
            <w:pPr>
              <w:autoSpaceDE w:val="0"/>
              <w:autoSpaceDN w:val="0"/>
              <w:rPr>
                <w:sz w:val="18"/>
                <w:szCs w:val="18"/>
              </w:rPr>
            </w:pPr>
            <w:r>
              <w:rPr>
                <w:sz w:val="18"/>
                <w:szCs w:val="18"/>
              </w:rPr>
              <w:t xml:space="preserve"> </w:t>
            </w:r>
            <w:r w:rsidRPr="00C75FA2">
              <w:rPr>
                <w:sz w:val="18"/>
                <w:szCs w:val="18"/>
              </w:rPr>
              <w:t>Brunswick Group</w:t>
            </w:r>
          </w:p>
          <w:p w14:paraId="3D0437DB" w14:textId="77777777" w:rsidR="00F71827" w:rsidRPr="00C75FA2" w:rsidRDefault="00F71827" w:rsidP="00B947BE">
            <w:pPr>
              <w:rPr>
                <w:sz w:val="18"/>
                <w:szCs w:val="18"/>
              </w:rPr>
            </w:pPr>
            <w:r>
              <w:rPr>
                <w:sz w:val="18"/>
                <w:szCs w:val="18"/>
              </w:rPr>
              <w:t xml:space="preserve"> </w:t>
            </w:r>
            <w:r w:rsidRPr="00C75FA2">
              <w:rPr>
                <w:sz w:val="18"/>
                <w:szCs w:val="18"/>
              </w:rPr>
              <w:t>+ 1 212 333 3810</w:t>
            </w:r>
          </w:p>
          <w:p w14:paraId="65DFA832" w14:textId="77777777" w:rsidR="00F71827" w:rsidRPr="006F0F72" w:rsidRDefault="00F71827" w:rsidP="00B947BE">
            <w:pPr>
              <w:pStyle w:val="TEXTE"/>
              <w:rPr>
                <w:rFonts w:ascii="Times New Roman" w:hAnsi="Times New Roman" w:cs="Times New Roman"/>
                <w:b/>
                <w:bCs/>
                <w:color w:val="000000"/>
                <w:spacing w:val="0"/>
                <w:sz w:val="18"/>
                <w:szCs w:val="18"/>
              </w:rPr>
            </w:pPr>
          </w:p>
        </w:tc>
        <w:tc>
          <w:tcPr>
            <w:tcW w:w="4745" w:type="dxa"/>
            <w:shd w:val="clear" w:color="auto" w:fill="auto"/>
          </w:tcPr>
          <w:p w14:paraId="5044659F" w14:textId="77777777" w:rsidR="00F71827" w:rsidRPr="006F0F72" w:rsidRDefault="00F71827" w:rsidP="00B947BE">
            <w:pPr>
              <w:pStyle w:val="TEXTE"/>
              <w:rPr>
                <w:rFonts w:ascii="Times New Roman" w:hAnsi="Times New Roman" w:cs="Times New Roman"/>
                <w:b/>
                <w:bCs/>
                <w:color w:val="000000"/>
                <w:spacing w:val="0"/>
                <w:sz w:val="18"/>
                <w:szCs w:val="18"/>
                <w:lang w:val="en-US"/>
              </w:rPr>
            </w:pPr>
            <w:r w:rsidRPr="006F0F72">
              <w:rPr>
                <w:rFonts w:ascii="Times New Roman" w:hAnsi="Times New Roman" w:cs="Times New Roman"/>
                <w:b/>
                <w:bCs/>
                <w:color w:val="000000"/>
                <w:spacing w:val="0"/>
                <w:sz w:val="18"/>
                <w:szCs w:val="18"/>
                <w:lang w:val="en-US"/>
              </w:rPr>
              <w:t xml:space="preserve"> China</w:t>
            </w:r>
          </w:p>
          <w:p w14:paraId="6AFB6E55" w14:textId="77777777" w:rsidR="00F71827" w:rsidRPr="006F0F72" w:rsidRDefault="00F71827" w:rsidP="00B947BE">
            <w:pPr>
              <w:rPr>
                <w:sz w:val="18"/>
                <w:szCs w:val="18"/>
                <w:lang w:val="en-US"/>
              </w:rPr>
            </w:pPr>
            <w:r w:rsidRPr="006F0F72">
              <w:rPr>
                <w:i/>
                <w:iCs/>
                <w:color w:val="000000"/>
                <w:sz w:val="18"/>
                <w:szCs w:val="18"/>
                <w:lang w:val="en-US"/>
              </w:rPr>
              <w:t xml:space="preserve"> Daniel Jeffreys</w:t>
            </w:r>
          </w:p>
          <w:p w14:paraId="4AC4B075" w14:textId="77777777" w:rsidR="00F71827" w:rsidRPr="006F0F72" w:rsidRDefault="00F71827" w:rsidP="00B947BE">
            <w:pPr>
              <w:pStyle w:val="TEXTE"/>
              <w:rPr>
                <w:rFonts w:ascii="Times New Roman" w:hAnsi="Times New Roman" w:cs="Times New Roman"/>
                <w:color w:val="000000"/>
                <w:spacing w:val="0"/>
                <w:sz w:val="18"/>
                <w:szCs w:val="18"/>
                <w:lang w:val="en-US"/>
              </w:rPr>
            </w:pPr>
            <w:r w:rsidRPr="006F0F72">
              <w:rPr>
                <w:rFonts w:ascii="Times New Roman" w:hAnsi="Times New Roman" w:cs="Times New Roman"/>
                <w:color w:val="000000"/>
                <w:spacing w:val="0"/>
                <w:sz w:val="18"/>
                <w:szCs w:val="18"/>
                <w:lang w:val="en-US"/>
              </w:rPr>
              <w:t xml:space="preserve"> </w:t>
            </w:r>
            <w:proofErr w:type="spellStart"/>
            <w:r w:rsidRPr="006F0F72">
              <w:rPr>
                <w:rFonts w:ascii="Times New Roman" w:hAnsi="Times New Roman" w:cs="Times New Roman"/>
                <w:color w:val="000000"/>
                <w:spacing w:val="0"/>
                <w:sz w:val="18"/>
                <w:szCs w:val="18"/>
                <w:lang w:val="en-US"/>
              </w:rPr>
              <w:t>Deluxewords</w:t>
            </w:r>
            <w:proofErr w:type="spellEnd"/>
          </w:p>
          <w:p w14:paraId="76B262D3" w14:textId="77777777" w:rsidR="00F71827" w:rsidRPr="006F0F72" w:rsidRDefault="00F71827" w:rsidP="00B947BE">
            <w:pPr>
              <w:rPr>
                <w:color w:val="000000"/>
                <w:sz w:val="18"/>
                <w:szCs w:val="18"/>
                <w:lang w:val="de-DE"/>
              </w:rPr>
            </w:pPr>
            <w:r w:rsidRPr="006F0F72">
              <w:rPr>
                <w:color w:val="000000"/>
                <w:sz w:val="18"/>
                <w:szCs w:val="18"/>
                <w:lang w:val="de-DE"/>
              </w:rPr>
              <w:t xml:space="preserve"> +</w:t>
            </w:r>
            <w:r>
              <w:rPr>
                <w:color w:val="000000"/>
                <w:sz w:val="18"/>
                <w:szCs w:val="18"/>
                <w:lang w:val="de-DE"/>
              </w:rPr>
              <w:t xml:space="preserve"> </w:t>
            </w:r>
            <w:r w:rsidRPr="006F0F72">
              <w:rPr>
                <w:color w:val="000000"/>
                <w:sz w:val="18"/>
                <w:szCs w:val="18"/>
                <w:lang w:val="de-DE"/>
              </w:rPr>
              <w:t>44 772 212 6562</w:t>
            </w:r>
          </w:p>
          <w:p w14:paraId="34862F31" w14:textId="77777777" w:rsidR="00F71827" w:rsidRPr="006F0F72" w:rsidRDefault="00F71827" w:rsidP="00B947BE">
            <w:pPr>
              <w:pStyle w:val="TEXTE"/>
              <w:rPr>
                <w:rFonts w:ascii="Times New Roman" w:hAnsi="Times New Roman" w:cs="Times New Roman"/>
                <w:b/>
                <w:bCs/>
                <w:color w:val="000000"/>
                <w:spacing w:val="0"/>
                <w:sz w:val="18"/>
                <w:szCs w:val="18"/>
                <w:lang w:val="en-US"/>
              </w:rPr>
            </w:pPr>
            <w:r w:rsidRPr="006F0F72">
              <w:rPr>
                <w:rFonts w:ascii="Times New Roman" w:hAnsi="Times New Roman" w:cs="Times New Roman"/>
                <w:color w:val="000000"/>
                <w:sz w:val="18"/>
                <w:szCs w:val="18"/>
                <w:lang w:val="de-DE"/>
              </w:rPr>
              <w:t xml:space="preserve"> +</w:t>
            </w:r>
            <w:r>
              <w:rPr>
                <w:rFonts w:ascii="Times New Roman" w:hAnsi="Times New Roman" w:cs="Times New Roman"/>
                <w:color w:val="000000"/>
                <w:sz w:val="18"/>
                <w:szCs w:val="18"/>
                <w:lang w:val="de-DE"/>
              </w:rPr>
              <w:t xml:space="preserve"> </w:t>
            </w:r>
            <w:r w:rsidRPr="006F0F72">
              <w:rPr>
                <w:rFonts w:ascii="Times New Roman" w:hAnsi="Times New Roman" w:cs="Times New Roman"/>
                <w:color w:val="000000"/>
                <w:sz w:val="18"/>
                <w:szCs w:val="18"/>
                <w:lang w:val="de-DE"/>
              </w:rPr>
              <w:t>86 21 80 36 04 48</w:t>
            </w:r>
          </w:p>
        </w:tc>
      </w:tr>
      <w:bookmarkEnd w:id="9"/>
      <w:bookmarkEnd w:id="12"/>
    </w:tbl>
    <w:p w14:paraId="4C2043AB" w14:textId="77777777" w:rsidR="00F71827" w:rsidRPr="006F0F72" w:rsidRDefault="00F71827" w:rsidP="00F71827">
      <w:pPr>
        <w:pStyle w:val="TEXTE"/>
        <w:rPr>
          <w:rFonts w:ascii="Times New Roman" w:hAnsi="Times New Roman" w:cs="Times New Roman"/>
          <w:color w:val="000000"/>
          <w:spacing w:val="0"/>
          <w:sz w:val="15"/>
          <w:szCs w:val="15"/>
        </w:rPr>
      </w:pPr>
    </w:p>
    <w:p w14:paraId="0CD0D981" w14:textId="77777777" w:rsidR="00F71827" w:rsidRPr="006F0F72" w:rsidRDefault="00F71827" w:rsidP="00F71827">
      <w:pPr>
        <w:autoSpaceDE w:val="0"/>
        <w:autoSpaceDN w:val="0"/>
        <w:adjustRightInd w:val="0"/>
        <w:jc w:val="both"/>
        <w:rPr>
          <w:rFonts w:eastAsia="MS Mincho"/>
          <w:color w:val="000000"/>
          <w:szCs w:val="22"/>
          <w:lang w:eastAsia="ja-JP"/>
        </w:rPr>
      </w:pPr>
    </w:p>
    <w:p w14:paraId="4334F04C" w14:textId="77777777" w:rsidR="00F71827" w:rsidRPr="006F0F72" w:rsidRDefault="00F71827" w:rsidP="00F71827"/>
    <w:p w14:paraId="60F3638E" w14:textId="77777777" w:rsidR="00624227" w:rsidRPr="00624227" w:rsidRDefault="00624227" w:rsidP="00624227">
      <w:pPr>
        <w:tabs>
          <w:tab w:val="left" w:pos="1530"/>
        </w:tabs>
        <w:rPr>
          <w:sz w:val="22"/>
          <w:szCs w:val="22"/>
          <w:lang w:val="fr-FR"/>
        </w:rPr>
      </w:pPr>
    </w:p>
    <w:sectPr w:rsidR="00624227" w:rsidRPr="00624227" w:rsidSect="004D2809">
      <w:headerReference w:type="default" r:id="rId10"/>
      <w:footerReference w:type="even" r:id="rId11"/>
      <w:footerReference w:type="first" r:id="rId12"/>
      <w:pgSz w:w="11906" w:h="16838"/>
      <w:pgMar w:top="568" w:right="1416" w:bottom="426" w:left="1418" w:header="1134" w:footer="39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792B" w14:textId="77777777" w:rsidR="00B75553" w:rsidRDefault="00B75553">
      <w:r>
        <w:separator/>
      </w:r>
    </w:p>
  </w:endnote>
  <w:endnote w:type="continuationSeparator" w:id="0">
    <w:p w14:paraId="44972934" w14:textId="77777777" w:rsidR="00B75553" w:rsidRDefault="00B7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VMH">
    <w:panose1 w:val="020B0604020202020204"/>
    <w:charset w:val="00"/>
    <w:family w:val="auto"/>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Corps CS)">
    <w:altName w:val="Times New Roman"/>
    <w:panose1 w:val="020B0604020202020204"/>
    <w:charset w:val="00"/>
    <w:family w:val="roman"/>
    <w:pitch w:val="variable"/>
    <w:sig w:usb0="E0002AEF" w:usb1="C0007841"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9905" w14:textId="77777777" w:rsidR="0069222D" w:rsidRDefault="0069222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79D23CB" w14:textId="77777777" w:rsidR="0069222D" w:rsidRDefault="0069222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016D" w14:textId="77777777" w:rsidR="00B63137" w:rsidRDefault="00B63137" w:rsidP="00F71827">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0DCAF" w14:textId="77777777" w:rsidR="00B75553" w:rsidRDefault="00B75553">
      <w:r>
        <w:separator/>
      </w:r>
    </w:p>
  </w:footnote>
  <w:footnote w:type="continuationSeparator" w:id="0">
    <w:p w14:paraId="54FF7417" w14:textId="77777777" w:rsidR="00B75553" w:rsidRDefault="00B7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6F2B" w14:textId="77777777" w:rsidR="006F72AB" w:rsidRDefault="00B06926">
    <w:pPr>
      <w:pStyle w:val="En-tte"/>
    </w:pPr>
    <w:r>
      <w:rPr>
        <w:noProof/>
      </w:rPr>
      <w:drawing>
        <wp:anchor distT="0" distB="0" distL="114300" distR="114300" simplePos="0" relativeHeight="251658240" behindDoc="1" locked="0" layoutInCell="1" allowOverlap="1" wp14:anchorId="36A6378A" wp14:editId="21AD8AC4">
          <wp:simplePos x="0" y="0"/>
          <wp:positionH relativeFrom="column">
            <wp:posOffset>40005</wp:posOffset>
          </wp:positionH>
          <wp:positionV relativeFrom="page">
            <wp:posOffset>381000</wp:posOffset>
          </wp:positionV>
          <wp:extent cx="631825" cy="149860"/>
          <wp:effectExtent l="0" t="0" r="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82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D92"/>
    <w:multiLevelType w:val="hybridMultilevel"/>
    <w:tmpl w:val="4D4E11EC"/>
    <w:lvl w:ilvl="0" w:tplc="EB76D712">
      <w:start w:val="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3364E1F"/>
    <w:multiLevelType w:val="hybridMultilevel"/>
    <w:tmpl w:val="7AD8141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A1662A"/>
    <w:multiLevelType w:val="hybridMultilevel"/>
    <w:tmpl w:val="E77E5D1C"/>
    <w:lvl w:ilvl="0" w:tplc="8B26BC56">
      <w:numFmt w:val="bullet"/>
      <w:lvlText w:val="-"/>
      <w:lvlJc w:val="left"/>
      <w:pPr>
        <w:ind w:left="720" w:hanging="360"/>
      </w:pPr>
      <w:rPr>
        <w:rFonts w:ascii="Times New Roman" w:eastAsia="LVMH"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B6485A"/>
    <w:multiLevelType w:val="hybridMultilevel"/>
    <w:tmpl w:val="8F486366"/>
    <w:lvl w:ilvl="0" w:tplc="FBE4EDE2">
      <w:start w:val="3"/>
      <w:numFmt w:val="decimal"/>
      <w:lvlText w:val="%1"/>
      <w:lvlJc w:val="left"/>
      <w:pPr>
        <w:ind w:left="251" w:hanging="360"/>
      </w:pPr>
      <w:rPr>
        <w:rFonts w:hint="default"/>
      </w:rPr>
    </w:lvl>
    <w:lvl w:ilvl="1" w:tplc="040C0019" w:tentative="1">
      <w:start w:val="1"/>
      <w:numFmt w:val="lowerLetter"/>
      <w:lvlText w:val="%2."/>
      <w:lvlJc w:val="left"/>
      <w:pPr>
        <w:ind w:left="971" w:hanging="360"/>
      </w:pPr>
    </w:lvl>
    <w:lvl w:ilvl="2" w:tplc="040C001B" w:tentative="1">
      <w:start w:val="1"/>
      <w:numFmt w:val="lowerRoman"/>
      <w:lvlText w:val="%3."/>
      <w:lvlJc w:val="right"/>
      <w:pPr>
        <w:ind w:left="1691" w:hanging="180"/>
      </w:pPr>
    </w:lvl>
    <w:lvl w:ilvl="3" w:tplc="040C000F" w:tentative="1">
      <w:start w:val="1"/>
      <w:numFmt w:val="decimal"/>
      <w:lvlText w:val="%4."/>
      <w:lvlJc w:val="left"/>
      <w:pPr>
        <w:ind w:left="2411" w:hanging="360"/>
      </w:pPr>
    </w:lvl>
    <w:lvl w:ilvl="4" w:tplc="040C0019" w:tentative="1">
      <w:start w:val="1"/>
      <w:numFmt w:val="lowerLetter"/>
      <w:lvlText w:val="%5."/>
      <w:lvlJc w:val="left"/>
      <w:pPr>
        <w:ind w:left="3131" w:hanging="360"/>
      </w:pPr>
    </w:lvl>
    <w:lvl w:ilvl="5" w:tplc="040C001B" w:tentative="1">
      <w:start w:val="1"/>
      <w:numFmt w:val="lowerRoman"/>
      <w:lvlText w:val="%6."/>
      <w:lvlJc w:val="right"/>
      <w:pPr>
        <w:ind w:left="3851" w:hanging="180"/>
      </w:pPr>
    </w:lvl>
    <w:lvl w:ilvl="6" w:tplc="040C000F" w:tentative="1">
      <w:start w:val="1"/>
      <w:numFmt w:val="decimal"/>
      <w:lvlText w:val="%7."/>
      <w:lvlJc w:val="left"/>
      <w:pPr>
        <w:ind w:left="4571" w:hanging="360"/>
      </w:pPr>
    </w:lvl>
    <w:lvl w:ilvl="7" w:tplc="040C0019" w:tentative="1">
      <w:start w:val="1"/>
      <w:numFmt w:val="lowerLetter"/>
      <w:lvlText w:val="%8."/>
      <w:lvlJc w:val="left"/>
      <w:pPr>
        <w:ind w:left="5291" w:hanging="360"/>
      </w:pPr>
    </w:lvl>
    <w:lvl w:ilvl="8" w:tplc="040C001B" w:tentative="1">
      <w:start w:val="1"/>
      <w:numFmt w:val="lowerRoman"/>
      <w:lvlText w:val="%9."/>
      <w:lvlJc w:val="right"/>
      <w:pPr>
        <w:ind w:left="6011" w:hanging="180"/>
      </w:pPr>
    </w:lvl>
  </w:abstractNum>
  <w:abstractNum w:abstractNumId="4" w15:restartNumberingAfterBreak="0">
    <w:nsid w:val="16660CF9"/>
    <w:multiLevelType w:val="hybridMultilevel"/>
    <w:tmpl w:val="DAEE89A2"/>
    <w:lvl w:ilvl="0" w:tplc="99783EF0">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D06E29"/>
    <w:multiLevelType w:val="hybridMultilevel"/>
    <w:tmpl w:val="8C08A7C0"/>
    <w:lvl w:ilvl="0" w:tplc="AE4413BC">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DD2069"/>
    <w:multiLevelType w:val="hybridMultilevel"/>
    <w:tmpl w:val="1DCEB9FC"/>
    <w:lvl w:ilvl="0" w:tplc="FD205562">
      <w:numFmt w:val="bullet"/>
      <w:lvlText w:val="-"/>
      <w:lvlJc w:val="left"/>
      <w:pPr>
        <w:ind w:left="720" w:hanging="360"/>
      </w:pPr>
      <w:rPr>
        <w:rFonts w:ascii="Times New Roman" w:eastAsia="LVMH"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AA45AA"/>
    <w:multiLevelType w:val="hybridMultilevel"/>
    <w:tmpl w:val="D26653BE"/>
    <w:lvl w:ilvl="0" w:tplc="57DC1DC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5E0EFB"/>
    <w:multiLevelType w:val="hybridMultilevel"/>
    <w:tmpl w:val="737252DC"/>
    <w:lvl w:ilvl="0" w:tplc="5A96C03C">
      <w:numFmt w:val="bullet"/>
      <w:lvlText w:val="-"/>
      <w:lvlJc w:val="left"/>
      <w:pPr>
        <w:ind w:left="720" w:hanging="360"/>
      </w:pPr>
      <w:rPr>
        <w:rFonts w:ascii="Times New Roman" w:eastAsia="LVMH"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212DF0"/>
    <w:multiLevelType w:val="hybridMultilevel"/>
    <w:tmpl w:val="F4E6A8D2"/>
    <w:lvl w:ilvl="0" w:tplc="12967056">
      <w:numFmt w:val="bullet"/>
      <w:lvlText w:val="-"/>
      <w:lvlJc w:val="left"/>
      <w:pPr>
        <w:ind w:left="857" w:hanging="360"/>
      </w:pPr>
      <w:rPr>
        <w:rFonts w:ascii="Times New Roman" w:eastAsia="Times New Roman" w:hAnsi="Times New Roman" w:cs="Times New Roman" w:hint="default"/>
      </w:rPr>
    </w:lvl>
    <w:lvl w:ilvl="1" w:tplc="040C0003" w:tentative="1">
      <w:start w:val="1"/>
      <w:numFmt w:val="bullet"/>
      <w:lvlText w:val="o"/>
      <w:lvlJc w:val="left"/>
      <w:pPr>
        <w:ind w:left="1577" w:hanging="360"/>
      </w:pPr>
      <w:rPr>
        <w:rFonts w:ascii="Courier New" w:hAnsi="Courier New" w:cs="Courier New" w:hint="default"/>
      </w:rPr>
    </w:lvl>
    <w:lvl w:ilvl="2" w:tplc="040C0005" w:tentative="1">
      <w:start w:val="1"/>
      <w:numFmt w:val="bullet"/>
      <w:lvlText w:val=""/>
      <w:lvlJc w:val="left"/>
      <w:pPr>
        <w:ind w:left="2297" w:hanging="360"/>
      </w:pPr>
      <w:rPr>
        <w:rFonts w:ascii="Wingdings" w:hAnsi="Wingdings" w:hint="default"/>
      </w:rPr>
    </w:lvl>
    <w:lvl w:ilvl="3" w:tplc="040C0001" w:tentative="1">
      <w:start w:val="1"/>
      <w:numFmt w:val="bullet"/>
      <w:lvlText w:val=""/>
      <w:lvlJc w:val="left"/>
      <w:pPr>
        <w:ind w:left="3017" w:hanging="360"/>
      </w:pPr>
      <w:rPr>
        <w:rFonts w:ascii="Symbol" w:hAnsi="Symbol" w:hint="default"/>
      </w:rPr>
    </w:lvl>
    <w:lvl w:ilvl="4" w:tplc="040C0003" w:tentative="1">
      <w:start w:val="1"/>
      <w:numFmt w:val="bullet"/>
      <w:lvlText w:val="o"/>
      <w:lvlJc w:val="left"/>
      <w:pPr>
        <w:ind w:left="3737" w:hanging="360"/>
      </w:pPr>
      <w:rPr>
        <w:rFonts w:ascii="Courier New" w:hAnsi="Courier New" w:cs="Courier New" w:hint="default"/>
      </w:rPr>
    </w:lvl>
    <w:lvl w:ilvl="5" w:tplc="040C0005" w:tentative="1">
      <w:start w:val="1"/>
      <w:numFmt w:val="bullet"/>
      <w:lvlText w:val=""/>
      <w:lvlJc w:val="left"/>
      <w:pPr>
        <w:ind w:left="4457" w:hanging="360"/>
      </w:pPr>
      <w:rPr>
        <w:rFonts w:ascii="Wingdings" w:hAnsi="Wingdings" w:hint="default"/>
      </w:rPr>
    </w:lvl>
    <w:lvl w:ilvl="6" w:tplc="040C0001" w:tentative="1">
      <w:start w:val="1"/>
      <w:numFmt w:val="bullet"/>
      <w:lvlText w:val=""/>
      <w:lvlJc w:val="left"/>
      <w:pPr>
        <w:ind w:left="5177" w:hanging="360"/>
      </w:pPr>
      <w:rPr>
        <w:rFonts w:ascii="Symbol" w:hAnsi="Symbol" w:hint="default"/>
      </w:rPr>
    </w:lvl>
    <w:lvl w:ilvl="7" w:tplc="040C0003" w:tentative="1">
      <w:start w:val="1"/>
      <w:numFmt w:val="bullet"/>
      <w:lvlText w:val="o"/>
      <w:lvlJc w:val="left"/>
      <w:pPr>
        <w:ind w:left="5897" w:hanging="360"/>
      </w:pPr>
      <w:rPr>
        <w:rFonts w:ascii="Courier New" w:hAnsi="Courier New" w:cs="Courier New" w:hint="default"/>
      </w:rPr>
    </w:lvl>
    <w:lvl w:ilvl="8" w:tplc="040C0005" w:tentative="1">
      <w:start w:val="1"/>
      <w:numFmt w:val="bullet"/>
      <w:lvlText w:val=""/>
      <w:lvlJc w:val="left"/>
      <w:pPr>
        <w:ind w:left="6617" w:hanging="360"/>
      </w:pPr>
      <w:rPr>
        <w:rFonts w:ascii="Wingdings" w:hAnsi="Wingdings" w:hint="default"/>
      </w:rPr>
    </w:lvl>
  </w:abstractNum>
  <w:abstractNum w:abstractNumId="10" w15:restartNumberingAfterBreak="0">
    <w:nsid w:val="2ED6023B"/>
    <w:multiLevelType w:val="hybridMultilevel"/>
    <w:tmpl w:val="6BC4ABAE"/>
    <w:lvl w:ilvl="0" w:tplc="5164CBA8">
      <w:start w:val="1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2080DB2"/>
    <w:multiLevelType w:val="hybridMultilevel"/>
    <w:tmpl w:val="21C25282"/>
    <w:lvl w:ilvl="0" w:tplc="CC068650">
      <w:numFmt w:val="bullet"/>
      <w:lvlText w:val="-"/>
      <w:lvlJc w:val="left"/>
      <w:pPr>
        <w:ind w:left="1080" w:hanging="360"/>
      </w:pPr>
      <w:rPr>
        <w:rFonts w:ascii="Times New Roman" w:eastAsia="LVMH"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3A1543C"/>
    <w:multiLevelType w:val="hybridMultilevel"/>
    <w:tmpl w:val="D1565A28"/>
    <w:lvl w:ilvl="0" w:tplc="DA4E6A2E">
      <w:start w:val="6"/>
      <w:numFmt w:val="bullet"/>
      <w:lvlText w:val="-"/>
      <w:lvlJc w:val="left"/>
      <w:pPr>
        <w:ind w:left="857" w:hanging="360"/>
      </w:pPr>
      <w:rPr>
        <w:rFonts w:ascii="Times New Roman" w:eastAsia="Times New Roman" w:hAnsi="Times New Roman" w:cs="Times New Roman" w:hint="default"/>
      </w:rPr>
    </w:lvl>
    <w:lvl w:ilvl="1" w:tplc="040C0003" w:tentative="1">
      <w:start w:val="1"/>
      <w:numFmt w:val="bullet"/>
      <w:lvlText w:val="o"/>
      <w:lvlJc w:val="left"/>
      <w:pPr>
        <w:ind w:left="1577" w:hanging="360"/>
      </w:pPr>
      <w:rPr>
        <w:rFonts w:ascii="Courier New" w:hAnsi="Courier New" w:cs="Courier New" w:hint="default"/>
      </w:rPr>
    </w:lvl>
    <w:lvl w:ilvl="2" w:tplc="040C0005" w:tentative="1">
      <w:start w:val="1"/>
      <w:numFmt w:val="bullet"/>
      <w:lvlText w:val=""/>
      <w:lvlJc w:val="left"/>
      <w:pPr>
        <w:ind w:left="2297" w:hanging="360"/>
      </w:pPr>
      <w:rPr>
        <w:rFonts w:ascii="Wingdings" w:hAnsi="Wingdings" w:hint="default"/>
      </w:rPr>
    </w:lvl>
    <w:lvl w:ilvl="3" w:tplc="040C0001" w:tentative="1">
      <w:start w:val="1"/>
      <w:numFmt w:val="bullet"/>
      <w:lvlText w:val=""/>
      <w:lvlJc w:val="left"/>
      <w:pPr>
        <w:ind w:left="3017" w:hanging="360"/>
      </w:pPr>
      <w:rPr>
        <w:rFonts w:ascii="Symbol" w:hAnsi="Symbol" w:hint="default"/>
      </w:rPr>
    </w:lvl>
    <w:lvl w:ilvl="4" w:tplc="040C0003" w:tentative="1">
      <w:start w:val="1"/>
      <w:numFmt w:val="bullet"/>
      <w:lvlText w:val="o"/>
      <w:lvlJc w:val="left"/>
      <w:pPr>
        <w:ind w:left="3737" w:hanging="360"/>
      </w:pPr>
      <w:rPr>
        <w:rFonts w:ascii="Courier New" w:hAnsi="Courier New" w:cs="Courier New" w:hint="default"/>
      </w:rPr>
    </w:lvl>
    <w:lvl w:ilvl="5" w:tplc="040C0005" w:tentative="1">
      <w:start w:val="1"/>
      <w:numFmt w:val="bullet"/>
      <w:lvlText w:val=""/>
      <w:lvlJc w:val="left"/>
      <w:pPr>
        <w:ind w:left="4457" w:hanging="360"/>
      </w:pPr>
      <w:rPr>
        <w:rFonts w:ascii="Wingdings" w:hAnsi="Wingdings" w:hint="default"/>
      </w:rPr>
    </w:lvl>
    <w:lvl w:ilvl="6" w:tplc="040C0001" w:tentative="1">
      <w:start w:val="1"/>
      <w:numFmt w:val="bullet"/>
      <w:lvlText w:val=""/>
      <w:lvlJc w:val="left"/>
      <w:pPr>
        <w:ind w:left="5177" w:hanging="360"/>
      </w:pPr>
      <w:rPr>
        <w:rFonts w:ascii="Symbol" w:hAnsi="Symbol" w:hint="default"/>
      </w:rPr>
    </w:lvl>
    <w:lvl w:ilvl="7" w:tplc="040C0003" w:tentative="1">
      <w:start w:val="1"/>
      <w:numFmt w:val="bullet"/>
      <w:lvlText w:val="o"/>
      <w:lvlJc w:val="left"/>
      <w:pPr>
        <w:ind w:left="5897" w:hanging="360"/>
      </w:pPr>
      <w:rPr>
        <w:rFonts w:ascii="Courier New" w:hAnsi="Courier New" w:cs="Courier New" w:hint="default"/>
      </w:rPr>
    </w:lvl>
    <w:lvl w:ilvl="8" w:tplc="040C0005" w:tentative="1">
      <w:start w:val="1"/>
      <w:numFmt w:val="bullet"/>
      <w:lvlText w:val=""/>
      <w:lvlJc w:val="left"/>
      <w:pPr>
        <w:ind w:left="6617" w:hanging="360"/>
      </w:pPr>
      <w:rPr>
        <w:rFonts w:ascii="Wingdings" w:hAnsi="Wingdings" w:hint="default"/>
      </w:rPr>
    </w:lvl>
  </w:abstractNum>
  <w:abstractNum w:abstractNumId="13" w15:restartNumberingAfterBreak="0">
    <w:nsid w:val="35F70C23"/>
    <w:multiLevelType w:val="hybridMultilevel"/>
    <w:tmpl w:val="96D630C8"/>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36267D85"/>
    <w:multiLevelType w:val="hybridMultilevel"/>
    <w:tmpl w:val="D5164CE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35576B"/>
    <w:multiLevelType w:val="hybridMultilevel"/>
    <w:tmpl w:val="20BE7A18"/>
    <w:lvl w:ilvl="0" w:tplc="7A7A1FAA">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4D2697"/>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F6F4BE6"/>
    <w:multiLevelType w:val="hybridMultilevel"/>
    <w:tmpl w:val="265E3684"/>
    <w:lvl w:ilvl="0" w:tplc="5994140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84055D"/>
    <w:multiLevelType w:val="hybridMultilevel"/>
    <w:tmpl w:val="91C22B9A"/>
    <w:lvl w:ilvl="0" w:tplc="FB3821E4">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4441C8C"/>
    <w:multiLevelType w:val="hybridMultilevel"/>
    <w:tmpl w:val="845AE634"/>
    <w:lvl w:ilvl="0" w:tplc="EB76D71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B6431F"/>
    <w:multiLevelType w:val="hybridMultilevel"/>
    <w:tmpl w:val="76D2C752"/>
    <w:lvl w:ilvl="0" w:tplc="46A6DA04">
      <w:numFmt w:val="bullet"/>
      <w:lvlText w:val="-"/>
      <w:lvlJc w:val="left"/>
      <w:pPr>
        <w:ind w:left="1440" w:hanging="360"/>
      </w:pPr>
      <w:rPr>
        <w:rFonts w:ascii="Times New Roman" w:eastAsia="LVMH" w:hAnsi="Times New Roman" w:cs="Times New Roman" w:hint="default"/>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B576BC5"/>
    <w:multiLevelType w:val="multilevel"/>
    <w:tmpl w:val="7AD8141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B8368E2"/>
    <w:multiLevelType w:val="hybridMultilevel"/>
    <w:tmpl w:val="69E87AE2"/>
    <w:lvl w:ilvl="0" w:tplc="39503526">
      <w:start w:val="35"/>
      <w:numFmt w:val="bullet"/>
      <w:lvlText w:val="-"/>
      <w:lvlJc w:val="left"/>
      <w:pPr>
        <w:ind w:left="465" w:hanging="360"/>
      </w:pPr>
      <w:rPr>
        <w:rFonts w:ascii="Times New Roman" w:eastAsia="Times New Roman" w:hAnsi="Times New Roman" w:cs="Times New Roman"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23" w15:restartNumberingAfterBreak="0">
    <w:nsid w:val="5D1F3457"/>
    <w:multiLevelType w:val="hybridMultilevel"/>
    <w:tmpl w:val="8D8A8D40"/>
    <w:lvl w:ilvl="0" w:tplc="F19C71C8">
      <w:start w:val="5"/>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6012638A"/>
    <w:multiLevelType w:val="hybridMultilevel"/>
    <w:tmpl w:val="F754F33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63EE7D32"/>
    <w:multiLevelType w:val="hybridMultilevel"/>
    <w:tmpl w:val="EBF0FB5A"/>
    <w:lvl w:ilvl="0" w:tplc="9F62FBB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5E430EE"/>
    <w:multiLevelType w:val="hybridMultilevel"/>
    <w:tmpl w:val="0616B95E"/>
    <w:lvl w:ilvl="0" w:tplc="F1CCDA36">
      <w:start w:val="3"/>
      <w:numFmt w:val="bullet"/>
      <w:lvlText w:val="-"/>
      <w:lvlJc w:val="left"/>
      <w:pPr>
        <w:ind w:left="720" w:hanging="360"/>
      </w:pPr>
      <w:rPr>
        <w:rFonts w:ascii="Times New Roman" w:eastAsia="LVMH"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8E26C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0451AA"/>
    <w:multiLevelType w:val="hybridMultilevel"/>
    <w:tmpl w:val="CEBA3C40"/>
    <w:lvl w:ilvl="0" w:tplc="423A03A2">
      <w:numFmt w:val="bullet"/>
      <w:lvlText w:val="-"/>
      <w:lvlJc w:val="left"/>
      <w:pPr>
        <w:ind w:left="1080" w:hanging="360"/>
      </w:pPr>
      <w:rPr>
        <w:rFonts w:ascii="Times New Roman" w:eastAsia="LVMH"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6BE44721"/>
    <w:multiLevelType w:val="hybridMultilevel"/>
    <w:tmpl w:val="AB3A7748"/>
    <w:lvl w:ilvl="0" w:tplc="4EACB080">
      <w:start w:val="3"/>
      <w:numFmt w:val="decimal"/>
      <w:lvlText w:val="%1"/>
      <w:lvlJc w:val="left"/>
      <w:pPr>
        <w:ind w:left="251" w:hanging="360"/>
      </w:pPr>
      <w:rPr>
        <w:rFonts w:hint="default"/>
      </w:rPr>
    </w:lvl>
    <w:lvl w:ilvl="1" w:tplc="040C0019" w:tentative="1">
      <w:start w:val="1"/>
      <w:numFmt w:val="lowerLetter"/>
      <w:lvlText w:val="%2."/>
      <w:lvlJc w:val="left"/>
      <w:pPr>
        <w:ind w:left="971" w:hanging="360"/>
      </w:pPr>
    </w:lvl>
    <w:lvl w:ilvl="2" w:tplc="040C001B" w:tentative="1">
      <w:start w:val="1"/>
      <w:numFmt w:val="lowerRoman"/>
      <w:lvlText w:val="%3."/>
      <w:lvlJc w:val="right"/>
      <w:pPr>
        <w:ind w:left="1691" w:hanging="180"/>
      </w:pPr>
    </w:lvl>
    <w:lvl w:ilvl="3" w:tplc="040C000F" w:tentative="1">
      <w:start w:val="1"/>
      <w:numFmt w:val="decimal"/>
      <w:lvlText w:val="%4."/>
      <w:lvlJc w:val="left"/>
      <w:pPr>
        <w:ind w:left="2411" w:hanging="360"/>
      </w:pPr>
    </w:lvl>
    <w:lvl w:ilvl="4" w:tplc="040C0019" w:tentative="1">
      <w:start w:val="1"/>
      <w:numFmt w:val="lowerLetter"/>
      <w:lvlText w:val="%5."/>
      <w:lvlJc w:val="left"/>
      <w:pPr>
        <w:ind w:left="3131" w:hanging="360"/>
      </w:pPr>
    </w:lvl>
    <w:lvl w:ilvl="5" w:tplc="040C001B" w:tentative="1">
      <w:start w:val="1"/>
      <w:numFmt w:val="lowerRoman"/>
      <w:lvlText w:val="%6."/>
      <w:lvlJc w:val="right"/>
      <w:pPr>
        <w:ind w:left="3851" w:hanging="180"/>
      </w:pPr>
    </w:lvl>
    <w:lvl w:ilvl="6" w:tplc="040C000F" w:tentative="1">
      <w:start w:val="1"/>
      <w:numFmt w:val="decimal"/>
      <w:lvlText w:val="%7."/>
      <w:lvlJc w:val="left"/>
      <w:pPr>
        <w:ind w:left="4571" w:hanging="360"/>
      </w:pPr>
    </w:lvl>
    <w:lvl w:ilvl="7" w:tplc="040C0019" w:tentative="1">
      <w:start w:val="1"/>
      <w:numFmt w:val="lowerLetter"/>
      <w:lvlText w:val="%8."/>
      <w:lvlJc w:val="left"/>
      <w:pPr>
        <w:ind w:left="5291" w:hanging="360"/>
      </w:pPr>
    </w:lvl>
    <w:lvl w:ilvl="8" w:tplc="040C001B" w:tentative="1">
      <w:start w:val="1"/>
      <w:numFmt w:val="lowerRoman"/>
      <w:lvlText w:val="%9."/>
      <w:lvlJc w:val="right"/>
      <w:pPr>
        <w:ind w:left="6011" w:hanging="180"/>
      </w:pPr>
    </w:lvl>
  </w:abstractNum>
  <w:abstractNum w:abstractNumId="30" w15:restartNumberingAfterBreak="0">
    <w:nsid w:val="6C677C2C"/>
    <w:multiLevelType w:val="hybridMultilevel"/>
    <w:tmpl w:val="6CAA3E66"/>
    <w:lvl w:ilvl="0" w:tplc="9D320462">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4E42F0"/>
    <w:multiLevelType w:val="hybridMultilevel"/>
    <w:tmpl w:val="7DF487E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39691143">
    <w:abstractNumId w:val="16"/>
  </w:num>
  <w:num w:numId="2" w16cid:durableId="2066483351">
    <w:abstractNumId w:val="31"/>
  </w:num>
  <w:num w:numId="3" w16cid:durableId="979379250">
    <w:abstractNumId w:val="1"/>
  </w:num>
  <w:num w:numId="4" w16cid:durableId="1257859254">
    <w:abstractNumId w:val="21"/>
  </w:num>
  <w:num w:numId="5" w16cid:durableId="1660158310">
    <w:abstractNumId w:val="14"/>
  </w:num>
  <w:num w:numId="6" w16cid:durableId="1592816631">
    <w:abstractNumId w:val="27"/>
  </w:num>
  <w:num w:numId="7" w16cid:durableId="685910335">
    <w:abstractNumId w:val="17"/>
  </w:num>
  <w:num w:numId="8" w16cid:durableId="92550843">
    <w:abstractNumId w:val="12"/>
  </w:num>
  <w:num w:numId="9" w16cid:durableId="1424649890">
    <w:abstractNumId w:val="9"/>
  </w:num>
  <w:num w:numId="10" w16cid:durableId="250628977">
    <w:abstractNumId w:val="22"/>
  </w:num>
  <w:num w:numId="11" w16cid:durableId="1616786324">
    <w:abstractNumId w:val="30"/>
  </w:num>
  <w:num w:numId="12" w16cid:durableId="1765690646">
    <w:abstractNumId w:val="19"/>
  </w:num>
  <w:num w:numId="13" w16cid:durableId="423888826">
    <w:abstractNumId w:val="6"/>
  </w:num>
  <w:num w:numId="14" w16cid:durableId="659968800">
    <w:abstractNumId w:val="24"/>
  </w:num>
  <w:num w:numId="15" w16cid:durableId="1220557199">
    <w:abstractNumId w:val="2"/>
  </w:num>
  <w:num w:numId="16" w16cid:durableId="1565946034">
    <w:abstractNumId w:val="28"/>
  </w:num>
  <w:num w:numId="17" w16cid:durableId="627206906">
    <w:abstractNumId w:val="0"/>
  </w:num>
  <w:num w:numId="18" w16cid:durableId="975640258">
    <w:abstractNumId w:val="20"/>
  </w:num>
  <w:num w:numId="19" w16cid:durableId="1177620136">
    <w:abstractNumId w:val="8"/>
  </w:num>
  <w:num w:numId="20" w16cid:durableId="95751697">
    <w:abstractNumId w:val="11"/>
  </w:num>
  <w:num w:numId="21" w16cid:durableId="1599606847">
    <w:abstractNumId w:val="5"/>
  </w:num>
  <w:num w:numId="22" w16cid:durableId="1809587457">
    <w:abstractNumId w:val="4"/>
  </w:num>
  <w:num w:numId="23" w16cid:durableId="1824346172">
    <w:abstractNumId w:val="25"/>
  </w:num>
  <w:num w:numId="24" w16cid:durableId="1688369736">
    <w:abstractNumId w:val="15"/>
  </w:num>
  <w:num w:numId="25" w16cid:durableId="2006083769">
    <w:abstractNumId w:val="23"/>
  </w:num>
  <w:num w:numId="26" w16cid:durableId="1378360033">
    <w:abstractNumId w:val="18"/>
  </w:num>
  <w:num w:numId="27" w16cid:durableId="1856533590">
    <w:abstractNumId w:val="10"/>
  </w:num>
  <w:num w:numId="28" w16cid:durableId="1189297458">
    <w:abstractNumId w:val="26"/>
  </w:num>
  <w:num w:numId="29" w16cid:durableId="1653875305">
    <w:abstractNumId w:val="13"/>
  </w:num>
  <w:num w:numId="30" w16cid:durableId="1150637193">
    <w:abstractNumId w:val="7"/>
  </w:num>
  <w:num w:numId="31" w16cid:durableId="1714693684">
    <w:abstractNumId w:val="3"/>
  </w:num>
  <w:num w:numId="32" w16cid:durableId="11780768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C140BD"/>
    <w:rsid w:val="000005F6"/>
    <w:rsid w:val="0000090F"/>
    <w:rsid w:val="00000B45"/>
    <w:rsid w:val="000019AC"/>
    <w:rsid w:val="00001C6D"/>
    <w:rsid w:val="0000206B"/>
    <w:rsid w:val="00002651"/>
    <w:rsid w:val="00003AF0"/>
    <w:rsid w:val="00003AF3"/>
    <w:rsid w:val="00004392"/>
    <w:rsid w:val="000075D3"/>
    <w:rsid w:val="00007ACA"/>
    <w:rsid w:val="00010052"/>
    <w:rsid w:val="00010204"/>
    <w:rsid w:val="00010BF5"/>
    <w:rsid w:val="00010C9A"/>
    <w:rsid w:val="00010CF8"/>
    <w:rsid w:val="000114DE"/>
    <w:rsid w:val="00011716"/>
    <w:rsid w:val="00011C47"/>
    <w:rsid w:val="00011F9C"/>
    <w:rsid w:val="00012AEB"/>
    <w:rsid w:val="00013060"/>
    <w:rsid w:val="000132A8"/>
    <w:rsid w:val="0001611E"/>
    <w:rsid w:val="00016555"/>
    <w:rsid w:val="00016E64"/>
    <w:rsid w:val="00017371"/>
    <w:rsid w:val="000178B7"/>
    <w:rsid w:val="00017DFD"/>
    <w:rsid w:val="00017EE0"/>
    <w:rsid w:val="000207F5"/>
    <w:rsid w:val="00021883"/>
    <w:rsid w:val="00021B6A"/>
    <w:rsid w:val="000227FC"/>
    <w:rsid w:val="00022921"/>
    <w:rsid w:val="00023811"/>
    <w:rsid w:val="000240B8"/>
    <w:rsid w:val="000244ED"/>
    <w:rsid w:val="00024F59"/>
    <w:rsid w:val="00025CC8"/>
    <w:rsid w:val="00026F4E"/>
    <w:rsid w:val="0002717F"/>
    <w:rsid w:val="00030605"/>
    <w:rsid w:val="00030612"/>
    <w:rsid w:val="00030A28"/>
    <w:rsid w:val="0003261C"/>
    <w:rsid w:val="00032756"/>
    <w:rsid w:val="00032854"/>
    <w:rsid w:val="00032BF2"/>
    <w:rsid w:val="00032D7D"/>
    <w:rsid w:val="00035B69"/>
    <w:rsid w:val="00035ECF"/>
    <w:rsid w:val="00036A8A"/>
    <w:rsid w:val="00037108"/>
    <w:rsid w:val="0003752A"/>
    <w:rsid w:val="00037B75"/>
    <w:rsid w:val="00040735"/>
    <w:rsid w:val="000419AE"/>
    <w:rsid w:val="00041E5D"/>
    <w:rsid w:val="00042CE1"/>
    <w:rsid w:val="00042E26"/>
    <w:rsid w:val="00043046"/>
    <w:rsid w:val="000436FA"/>
    <w:rsid w:val="00044DF8"/>
    <w:rsid w:val="00045047"/>
    <w:rsid w:val="00045497"/>
    <w:rsid w:val="0004589E"/>
    <w:rsid w:val="00045B80"/>
    <w:rsid w:val="00045DCF"/>
    <w:rsid w:val="000465C6"/>
    <w:rsid w:val="000469EB"/>
    <w:rsid w:val="00046F58"/>
    <w:rsid w:val="000478E3"/>
    <w:rsid w:val="00050B2F"/>
    <w:rsid w:val="00051B28"/>
    <w:rsid w:val="00051EA2"/>
    <w:rsid w:val="000528FC"/>
    <w:rsid w:val="00053370"/>
    <w:rsid w:val="00053AA4"/>
    <w:rsid w:val="00054054"/>
    <w:rsid w:val="00054562"/>
    <w:rsid w:val="000557F3"/>
    <w:rsid w:val="0005589A"/>
    <w:rsid w:val="000568EA"/>
    <w:rsid w:val="000577B5"/>
    <w:rsid w:val="00057EDB"/>
    <w:rsid w:val="00060366"/>
    <w:rsid w:val="00060E27"/>
    <w:rsid w:val="00061C60"/>
    <w:rsid w:val="00063BA2"/>
    <w:rsid w:val="000647E1"/>
    <w:rsid w:val="00064B03"/>
    <w:rsid w:val="00066315"/>
    <w:rsid w:val="00066BD0"/>
    <w:rsid w:val="000675A6"/>
    <w:rsid w:val="000677F1"/>
    <w:rsid w:val="00070B32"/>
    <w:rsid w:val="000725AF"/>
    <w:rsid w:val="00072DEC"/>
    <w:rsid w:val="000732CB"/>
    <w:rsid w:val="00073D2D"/>
    <w:rsid w:val="00073E04"/>
    <w:rsid w:val="000742B7"/>
    <w:rsid w:val="000742E6"/>
    <w:rsid w:val="00074A19"/>
    <w:rsid w:val="00074C17"/>
    <w:rsid w:val="0007554C"/>
    <w:rsid w:val="00075B2B"/>
    <w:rsid w:val="00077171"/>
    <w:rsid w:val="00077F28"/>
    <w:rsid w:val="000802AF"/>
    <w:rsid w:val="0008060B"/>
    <w:rsid w:val="00080B91"/>
    <w:rsid w:val="00081C98"/>
    <w:rsid w:val="00081DC0"/>
    <w:rsid w:val="000820F2"/>
    <w:rsid w:val="00082217"/>
    <w:rsid w:val="00084E12"/>
    <w:rsid w:val="00084FEB"/>
    <w:rsid w:val="000855FF"/>
    <w:rsid w:val="00085A54"/>
    <w:rsid w:val="00085EFF"/>
    <w:rsid w:val="00087791"/>
    <w:rsid w:val="00090102"/>
    <w:rsid w:val="000912B0"/>
    <w:rsid w:val="000914B3"/>
    <w:rsid w:val="00093230"/>
    <w:rsid w:val="00093413"/>
    <w:rsid w:val="0009346F"/>
    <w:rsid w:val="00093FA9"/>
    <w:rsid w:val="00095344"/>
    <w:rsid w:val="00096025"/>
    <w:rsid w:val="00096278"/>
    <w:rsid w:val="000966E1"/>
    <w:rsid w:val="00096A80"/>
    <w:rsid w:val="00097369"/>
    <w:rsid w:val="000978E6"/>
    <w:rsid w:val="000A004B"/>
    <w:rsid w:val="000A3234"/>
    <w:rsid w:val="000A40DD"/>
    <w:rsid w:val="000A5D58"/>
    <w:rsid w:val="000A6090"/>
    <w:rsid w:val="000B07DD"/>
    <w:rsid w:val="000B0B20"/>
    <w:rsid w:val="000B1971"/>
    <w:rsid w:val="000B19BC"/>
    <w:rsid w:val="000B363B"/>
    <w:rsid w:val="000B46BD"/>
    <w:rsid w:val="000B472B"/>
    <w:rsid w:val="000B4AFF"/>
    <w:rsid w:val="000B7B74"/>
    <w:rsid w:val="000C03E7"/>
    <w:rsid w:val="000C0DB8"/>
    <w:rsid w:val="000C121D"/>
    <w:rsid w:val="000C286E"/>
    <w:rsid w:val="000C31E1"/>
    <w:rsid w:val="000C3C2F"/>
    <w:rsid w:val="000C3DEE"/>
    <w:rsid w:val="000C4C0E"/>
    <w:rsid w:val="000C52E4"/>
    <w:rsid w:val="000C6340"/>
    <w:rsid w:val="000C6780"/>
    <w:rsid w:val="000C687F"/>
    <w:rsid w:val="000C6A4D"/>
    <w:rsid w:val="000C78EA"/>
    <w:rsid w:val="000D257E"/>
    <w:rsid w:val="000D2DF0"/>
    <w:rsid w:val="000D42C6"/>
    <w:rsid w:val="000D539A"/>
    <w:rsid w:val="000D553C"/>
    <w:rsid w:val="000D7615"/>
    <w:rsid w:val="000E0D98"/>
    <w:rsid w:val="000E10BD"/>
    <w:rsid w:val="000E22B6"/>
    <w:rsid w:val="000E2767"/>
    <w:rsid w:val="000E2F77"/>
    <w:rsid w:val="000E3D70"/>
    <w:rsid w:val="000E42B5"/>
    <w:rsid w:val="000E450F"/>
    <w:rsid w:val="000E4A78"/>
    <w:rsid w:val="000E4E75"/>
    <w:rsid w:val="000E5218"/>
    <w:rsid w:val="000E63B7"/>
    <w:rsid w:val="000E68FA"/>
    <w:rsid w:val="000E6B3E"/>
    <w:rsid w:val="000E6C2A"/>
    <w:rsid w:val="000E7F50"/>
    <w:rsid w:val="000F07DC"/>
    <w:rsid w:val="000F191F"/>
    <w:rsid w:val="000F263D"/>
    <w:rsid w:val="000F2773"/>
    <w:rsid w:val="000F6A09"/>
    <w:rsid w:val="000F7577"/>
    <w:rsid w:val="00100700"/>
    <w:rsid w:val="00101C52"/>
    <w:rsid w:val="00101CD3"/>
    <w:rsid w:val="00102262"/>
    <w:rsid w:val="001022CB"/>
    <w:rsid w:val="00102EB3"/>
    <w:rsid w:val="00103FF2"/>
    <w:rsid w:val="00105A7C"/>
    <w:rsid w:val="00106890"/>
    <w:rsid w:val="00106CDF"/>
    <w:rsid w:val="001072F5"/>
    <w:rsid w:val="0011097D"/>
    <w:rsid w:val="001115E3"/>
    <w:rsid w:val="001116AC"/>
    <w:rsid w:val="00111CDB"/>
    <w:rsid w:val="00112D37"/>
    <w:rsid w:val="0011304C"/>
    <w:rsid w:val="001132F3"/>
    <w:rsid w:val="0011414B"/>
    <w:rsid w:val="001142CC"/>
    <w:rsid w:val="001145DF"/>
    <w:rsid w:val="00114FBB"/>
    <w:rsid w:val="0011553A"/>
    <w:rsid w:val="001157BD"/>
    <w:rsid w:val="0011595B"/>
    <w:rsid w:val="00116507"/>
    <w:rsid w:val="00116909"/>
    <w:rsid w:val="001169A3"/>
    <w:rsid w:val="00117C6D"/>
    <w:rsid w:val="00120A52"/>
    <w:rsid w:val="0012124C"/>
    <w:rsid w:val="00121DE9"/>
    <w:rsid w:val="00123890"/>
    <w:rsid w:val="00124A6C"/>
    <w:rsid w:val="00124C34"/>
    <w:rsid w:val="00125198"/>
    <w:rsid w:val="001255D0"/>
    <w:rsid w:val="001257EC"/>
    <w:rsid w:val="001263FC"/>
    <w:rsid w:val="00126440"/>
    <w:rsid w:val="00126648"/>
    <w:rsid w:val="00127289"/>
    <w:rsid w:val="00127CC6"/>
    <w:rsid w:val="00133FFC"/>
    <w:rsid w:val="0013459E"/>
    <w:rsid w:val="00134631"/>
    <w:rsid w:val="00135121"/>
    <w:rsid w:val="00135256"/>
    <w:rsid w:val="00136650"/>
    <w:rsid w:val="00136C85"/>
    <w:rsid w:val="001374AD"/>
    <w:rsid w:val="0013761D"/>
    <w:rsid w:val="00140BA8"/>
    <w:rsid w:val="001411B9"/>
    <w:rsid w:val="001415BF"/>
    <w:rsid w:val="00141943"/>
    <w:rsid w:val="0014431E"/>
    <w:rsid w:val="00144AC0"/>
    <w:rsid w:val="00145D5E"/>
    <w:rsid w:val="00146270"/>
    <w:rsid w:val="00146DF7"/>
    <w:rsid w:val="00147853"/>
    <w:rsid w:val="00151166"/>
    <w:rsid w:val="00151E8B"/>
    <w:rsid w:val="00152271"/>
    <w:rsid w:val="001531CC"/>
    <w:rsid w:val="00153D61"/>
    <w:rsid w:val="00153E41"/>
    <w:rsid w:val="00153F24"/>
    <w:rsid w:val="001544ED"/>
    <w:rsid w:val="00154E6F"/>
    <w:rsid w:val="00155053"/>
    <w:rsid w:val="00155630"/>
    <w:rsid w:val="00156442"/>
    <w:rsid w:val="0015798D"/>
    <w:rsid w:val="001600CA"/>
    <w:rsid w:val="00160C23"/>
    <w:rsid w:val="00161032"/>
    <w:rsid w:val="00161355"/>
    <w:rsid w:val="00161461"/>
    <w:rsid w:val="001636D3"/>
    <w:rsid w:val="0016396F"/>
    <w:rsid w:val="00163D0F"/>
    <w:rsid w:val="00164711"/>
    <w:rsid w:val="00164CAD"/>
    <w:rsid w:val="00166668"/>
    <w:rsid w:val="0016747B"/>
    <w:rsid w:val="001675D9"/>
    <w:rsid w:val="00170269"/>
    <w:rsid w:val="00170800"/>
    <w:rsid w:val="00170BC1"/>
    <w:rsid w:val="00170BF7"/>
    <w:rsid w:val="00170CF6"/>
    <w:rsid w:val="001714DA"/>
    <w:rsid w:val="00171A7A"/>
    <w:rsid w:val="0017204D"/>
    <w:rsid w:val="001744EE"/>
    <w:rsid w:val="00174A3C"/>
    <w:rsid w:val="00174DBF"/>
    <w:rsid w:val="001751F3"/>
    <w:rsid w:val="001757DA"/>
    <w:rsid w:val="00175DDB"/>
    <w:rsid w:val="00176919"/>
    <w:rsid w:val="0017742F"/>
    <w:rsid w:val="001779AE"/>
    <w:rsid w:val="0018036D"/>
    <w:rsid w:val="00180AD6"/>
    <w:rsid w:val="001831F3"/>
    <w:rsid w:val="00183CFD"/>
    <w:rsid w:val="001847A0"/>
    <w:rsid w:val="001857A5"/>
    <w:rsid w:val="001864AD"/>
    <w:rsid w:val="00186618"/>
    <w:rsid w:val="00186F8C"/>
    <w:rsid w:val="001871D4"/>
    <w:rsid w:val="00187673"/>
    <w:rsid w:val="00187D4A"/>
    <w:rsid w:val="00187FF0"/>
    <w:rsid w:val="0019104A"/>
    <w:rsid w:val="00191FFD"/>
    <w:rsid w:val="001922EB"/>
    <w:rsid w:val="00192A5C"/>
    <w:rsid w:val="00193E9B"/>
    <w:rsid w:val="001942C6"/>
    <w:rsid w:val="0019519E"/>
    <w:rsid w:val="001953BF"/>
    <w:rsid w:val="00195BEE"/>
    <w:rsid w:val="00195FAD"/>
    <w:rsid w:val="001963FE"/>
    <w:rsid w:val="0019656E"/>
    <w:rsid w:val="00196639"/>
    <w:rsid w:val="001969CF"/>
    <w:rsid w:val="001A05BD"/>
    <w:rsid w:val="001A0E9B"/>
    <w:rsid w:val="001A16B3"/>
    <w:rsid w:val="001A29B4"/>
    <w:rsid w:val="001A2B5D"/>
    <w:rsid w:val="001A371A"/>
    <w:rsid w:val="001A5005"/>
    <w:rsid w:val="001A5A74"/>
    <w:rsid w:val="001A719A"/>
    <w:rsid w:val="001B120B"/>
    <w:rsid w:val="001B235F"/>
    <w:rsid w:val="001B59BA"/>
    <w:rsid w:val="001B6BB2"/>
    <w:rsid w:val="001B7D39"/>
    <w:rsid w:val="001B7E41"/>
    <w:rsid w:val="001C02F7"/>
    <w:rsid w:val="001C0A3C"/>
    <w:rsid w:val="001C0EA5"/>
    <w:rsid w:val="001C1FAA"/>
    <w:rsid w:val="001C278E"/>
    <w:rsid w:val="001C43A0"/>
    <w:rsid w:val="001C5047"/>
    <w:rsid w:val="001C601A"/>
    <w:rsid w:val="001C6669"/>
    <w:rsid w:val="001C73F6"/>
    <w:rsid w:val="001D0349"/>
    <w:rsid w:val="001D148D"/>
    <w:rsid w:val="001D1C2D"/>
    <w:rsid w:val="001D26C0"/>
    <w:rsid w:val="001D46C8"/>
    <w:rsid w:val="001D4BF3"/>
    <w:rsid w:val="001D4C36"/>
    <w:rsid w:val="001D4F7A"/>
    <w:rsid w:val="001D4FCC"/>
    <w:rsid w:val="001D5831"/>
    <w:rsid w:val="001D5D48"/>
    <w:rsid w:val="001D6545"/>
    <w:rsid w:val="001D7EB4"/>
    <w:rsid w:val="001E0037"/>
    <w:rsid w:val="001E0710"/>
    <w:rsid w:val="001E170B"/>
    <w:rsid w:val="001E1DA6"/>
    <w:rsid w:val="001E2915"/>
    <w:rsid w:val="001E51F4"/>
    <w:rsid w:val="001E6B9D"/>
    <w:rsid w:val="001E76CF"/>
    <w:rsid w:val="001F14D2"/>
    <w:rsid w:val="001F1732"/>
    <w:rsid w:val="001F1A84"/>
    <w:rsid w:val="001F1DF1"/>
    <w:rsid w:val="001F39CB"/>
    <w:rsid w:val="001F3C02"/>
    <w:rsid w:val="001F4846"/>
    <w:rsid w:val="001F6AEF"/>
    <w:rsid w:val="001F6D5E"/>
    <w:rsid w:val="001F7713"/>
    <w:rsid w:val="001F772E"/>
    <w:rsid w:val="001F7BDC"/>
    <w:rsid w:val="00200D98"/>
    <w:rsid w:val="0020185A"/>
    <w:rsid w:val="002024A5"/>
    <w:rsid w:val="00202A73"/>
    <w:rsid w:val="0020320D"/>
    <w:rsid w:val="00203E63"/>
    <w:rsid w:val="00204728"/>
    <w:rsid w:val="00204E56"/>
    <w:rsid w:val="0020555B"/>
    <w:rsid w:val="00205CA0"/>
    <w:rsid w:val="002062DD"/>
    <w:rsid w:val="00206314"/>
    <w:rsid w:val="00207A5C"/>
    <w:rsid w:val="00207C4C"/>
    <w:rsid w:val="002105B6"/>
    <w:rsid w:val="00210EF8"/>
    <w:rsid w:val="002110CC"/>
    <w:rsid w:val="0021112D"/>
    <w:rsid w:val="0021221F"/>
    <w:rsid w:val="00212491"/>
    <w:rsid w:val="0021388C"/>
    <w:rsid w:val="002138B8"/>
    <w:rsid w:val="00213BC0"/>
    <w:rsid w:val="00214843"/>
    <w:rsid w:val="00214D2F"/>
    <w:rsid w:val="00215096"/>
    <w:rsid w:val="00215BFF"/>
    <w:rsid w:val="00215F4E"/>
    <w:rsid w:val="00216B15"/>
    <w:rsid w:val="0021709A"/>
    <w:rsid w:val="00220025"/>
    <w:rsid w:val="00220050"/>
    <w:rsid w:val="00220DD7"/>
    <w:rsid w:val="00221258"/>
    <w:rsid w:val="0022127D"/>
    <w:rsid w:val="00221381"/>
    <w:rsid w:val="002216E8"/>
    <w:rsid w:val="00222204"/>
    <w:rsid w:val="00222575"/>
    <w:rsid w:val="00223A99"/>
    <w:rsid w:val="00223C39"/>
    <w:rsid w:val="0022499F"/>
    <w:rsid w:val="00224CE8"/>
    <w:rsid w:val="002250C6"/>
    <w:rsid w:val="00225937"/>
    <w:rsid w:val="00227315"/>
    <w:rsid w:val="00227EC6"/>
    <w:rsid w:val="00232251"/>
    <w:rsid w:val="0023289B"/>
    <w:rsid w:val="00232BE8"/>
    <w:rsid w:val="002332F0"/>
    <w:rsid w:val="00233538"/>
    <w:rsid w:val="00233B7E"/>
    <w:rsid w:val="002343C1"/>
    <w:rsid w:val="00234E6F"/>
    <w:rsid w:val="00235983"/>
    <w:rsid w:val="00236EBA"/>
    <w:rsid w:val="002377F2"/>
    <w:rsid w:val="00237A58"/>
    <w:rsid w:val="002402D3"/>
    <w:rsid w:val="0024121E"/>
    <w:rsid w:val="00241FC3"/>
    <w:rsid w:val="00243012"/>
    <w:rsid w:val="002430D6"/>
    <w:rsid w:val="0024485C"/>
    <w:rsid w:val="00245489"/>
    <w:rsid w:val="00245D1B"/>
    <w:rsid w:val="00245E10"/>
    <w:rsid w:val="002460BB"/>
    <w:rsid w:val="00246266"/>
    <w:rsid w:val="002471B6"/>
    <w:rsid w:val="00250F26"/>
    <w:rsid w:val="0025149B"/>
    <w:rsid w:val="002523AC"/>
    <w:rsid w:val="00252B11"/>
    <w:rsid w:val="00252C0B"/>
    <w:rsid w:val="00252CBD"/>
    <w:rsid w:val="00252F68"/>
    <w:rsid w:val="00253193"/>
    <w:rsid w:val="002534E2"/>
    <w:rsid w:val="002538AF"/>
    <w:rsid w:val="00253A5D"/>
    <w:rsid w:val="002541B4"/>
    <w:rsid w:val="0025454E"/>
    <w:rsid w:val="0025475D"/>
    <w:rsid w:val="00254AE0"/>
    <w:rsid w:val="0025541C"/>
    <w:rsid w:val="00256042"/>
    <w:rsid w:val="00256222"/>
    <w:rsid w:val="00256578"/>
    <w:rsid w:val="00256749"/>
    <w:rsid w:val="00256D78"/>
    <w:rsid w:val="002577A5"/>
    <w:rsid w:val="00261D67"/>
    <w:rsid w:val="0026212B"/>
    <w:rsid w:val="0026316B"/>
    <w:rsid w:val="00263EBD"/>
    <w:rsid w:val="0026489C"/>
    <w:rsid w:val="002658E1"/>
    <w:rsid w:val="00265A10"/>
    <w:rsid w:val="00265A4C"/>
    <w:rsid w:val="00265CE6"/>
    <w:rsid w:val="00265FA5"/>
    <w:rsid w:val="00266B87"/>
    <w:rsid w:val="00267689"/>
    <w:rsid w:val="0027146E"/>
    <w:rsid w:val="002716E3"/>
    <w:rsid w:val="00271D2F"/>
    <w:rsid w:val="00272A91"/>
    <w:rsid w:val="002746AA"/>
    <w:rsid w:val="00275682"/>
    <w:rsid w:val="002766AB"/>
    <w:rsid w:val="0027693F"/>
    <w:rsid w:val="002772C9"/>
    <w:rsid w:val="0028085E"/>
    <w:rsid w:val="00281A44"/>
    <w:rsid w:val="00282625"/>
    <w:rsid w:val="00284F72"/>
    <w:rsid w:val="00286379"/>
    <w:rsid w:val="00286987"/>
    <w:rsid w:val="0029108B"/>
    <w:rsid w:val="002919F7"/>
    <w:rsid w:val="00291F2A"/>
    <w:rsid w:val="002929D3"/>
    <w:rsid w:val="00292B3A"/>
    <w:rsid w:val="00293772"/>
    <w:rsid w:val="00294944"/>
    <w:rsid w:val="00294D4E"/>
    <w:rsid w:val="00294DE9"/>
    <w:rsid w:val="00295468"/>
    <w:rsid w:val="0029725F"/>
    <w:rsid w:val="0029774A"/>
    <w:rsid w:val="002A0B01"/>
    <w:rsid w:val="002A1895"/>
    <w:rsid w:val="002A5067"/>
    <w:rsid w:val="002A5C54"/>
    <w:rsid w:val="002A6887"/>
    <w:rsid w:val="002A6AE6"/>
    <w:rsid w:val="002A6EDB"/>
    <w:rsid w:val="002A72BA"/>
    <w:rsid w:val="002B1AE1"/>
    <w:rsid w:val="002B1E59"/>
    <w:rsid w:val="002B2D83"/>
    <w:rsid w:val="002B31C6"/>
    <w:rsid w:val="002B415C"/>
    <w:rsid w:val="002B4969"/>
    <w:rsid w:val="002B5119"/>
    <w:rsid w:val="002B52C6"/>
    <w:rsid w:val="002B61A2"/>
    <w:rsid w:val="002B70D3"/>
    <w:rsid w:val="002C09D1"/>
    <w:rsid w:val="002C14D7"/>
    <w:rsid w:val="002C37EA"/>
    <w:rsid w:val="002C39F4"/>
    <w:rsid w:val="002C49DE"/>
    <w:rsid w:val="002C4BB4"/>
    <w:rsid w:val="002C4E73"/>
    <w:rsid w:val="002C6F70"/>
    <w:rsid w:val="002C70EB"/>
    <w:rsid w:val="002C713B"/>
    <w:rsid w:val="002C7695"/>
    <w:rsid w:val="002D03DD"/>
    <w:rsid w:val="002D0E14"/>
    <w:rsid w:val="002D0E9F"/>
    <w:rsid w:val="002D185F"/>
    <w:rsid w:val="002D1A7B"/>
    <w:rsid w:val="002D1CBE"/>
    <w:rsid w:val="002D2865"/>
    <w:rsid w:val="002D5822"/>
    <w:rsid w:val="002D597F"/>
    <w:rsid w:val="002D5C65"/>
    <w:rsid w:val="002D7D4F"/>
    <w:rsid w:val="002E011F"/>
    <w:rsid w:val="002E2084"/>
    <w:rsid w:val="002E2554"/>
    <w:rsid w:val="002E29BC"/>
    <w:rsid w:val="002E2C04"/>
    <w:rsid w:val="002E2E22"/>
    <w:rsid w:val="002E360E"/>
    <w:rsid w:val="002E3AD8"/>
    <w:rsid w:val="002E58EB"/>
    <w:rsid w:val="002E5EFB"/>
    <w:rsid w:val="002E6038"/>
    <w:rsid w:val="002E6A99"/>
    <w:rsid w:val="002E758A"/>
    <w:rsid w:val="002E7942"/>
    <w:rsid w:val="002E7EEB"/>
    <w:rsid w:val="002F1BAF"/>
    <w:rsid w:val="002F1EB4"/>
    <w:rsid w:val="002F2355"/>
    <w:rsid w:val="002F29EB"/>
    <w:rsid w:val="002F3E5A"/>
    <w:rsid w:val="002F42BB"/>
    <w:rsid w:val="002F477A"/>
    <w:rsid w:val="002F5539"/>
    <w:rsid w:val="002F57CC"/>
    <w:rsid w:val="002F6879"/>
    <w:rsid w:val="003002E6"/>
    <w:rsid w:val="00300C44"/>
    <w:rsid w:val="003011B3"/>
    <w:rsid w:val="0030203F"/>
    <w:rsid w:val="00302ED5"/>
    <w:rsid w:val="00303BF3"/>
    <w:rsid w:val="00304ED4"/>
    <w:rsid w:val="00306B6E"/>
    <w:rsid w:val="003078D4"/>
    <w:rsid w:val="003108BF"/>
    <w:rsid w:val="00311800"/>
    <w:rsid w:val="003151DA"/>
    <w:rsid w:val="0031590C"/>
    <w:rsid w:val="00315952"/>
    <w:rsid w:val="003159B9"/>
    <w:rsid w:val="00315AB3"/>
    <w:rsid w:val="00315B98"/>
    <w:rsid w:val="00315F2A"/>
    <w:rsid w:val="003163ED"/>
    <w:rsid w:val="00316D02"/>
    <w:rsid w:val="00316F77"/>
    <w:rsid w:val="0031728F"/>
    <w:rsid w:val="00320517"/>
    <w:rsid w:val="00321725"/>
    <w:rsid w:val="00321741"/>
    <w:rsid w:val="00321F2D"/>
    <w:rsid w:val="00322F9F"/>
    <w:rsid w:val="00323614"/>
    <w:rsid w:val="00323E21"/>
    <w:rsid w:val="003240AA"/>
    <w:rsid w:val="00324556"/>
    <w:rsid w:val="003245E8"/>
    <w:rsid w:val="00324C7C"/>
    <w:rsid w:val="00324CC3"/>
    <w:rsid w:val="00324F02"/>
    <w:rsid w:val="0032516A"/>
    <w:rsid w:val="00325580"/>
    <w:rsid w:val="00326052"/>
    <w:rsid w:val="00326452"/>
    <w:rsid w:val="00326F0F"/>
    <w:rsid w:val="00327572"/>
    <w:rsid w:val="00327DFC"/>
    <w:rsid w:val="003306C8"/>
    <w:rsid w:val="00331465"/>
    <w:rsid w:val="0033295B"/>
    <w:rsid w:val="00333235"/>
    <w:rsid w:val="003332DF"/>
    <w:rsid w:val="0033402B"/>
    <w:rsid w:val="0033422C"/>
    <w:rsid w:val="00334584"/>
    <w:rsid w:val="003351E8"/>
    <w:rsid w:val="003351EE"/>
    <w:rsid w:val="00335E20"/>
    <w:rsid w:val="003370B7"/>
    <w:rsid w:val="00340881"/>
    <w:rsid w:val="00340AA6"/>
    <w:rsid w:val="00340D45"/>
    <w:rsid w:val="0034210A"/>
    <w:rsid w:val="00342CF1"/>
    <w:rsid w:val="00343AA7"/>
    <w:rsid w:val="0034455D"/>
    <w:rsid w:val="003450C0"/>
    <w:rsid w:val="00345175"/>
    <w:rsid w:val="00347DC9"/>
    <w:rsid w:val="003503B2"/>
    <w:rsid w:val="00350933"/>
    <w:rsid w:val="00350A9E"/>
    <w:rsid w:val="00351757"/>
    <w:rsid w:val="0035280A"/>
    <w:rsid w:val="00352C22"/>
    <w:rsid w:val="0035303E"/>
    <w:rsid w:val="00354B91"/>
    <w:rsid w:val="00355077"/>
    <w:rsid w:val="0035539E"/>
    <w:rsid w:val="0035546E"/>
    <w:rsid w:val="00355B6B"/>
    <w:rsid w:val="00355DE3"/>
    <w:rsid w:val="00356C26"/>
    <w:rsid w:val="003576EF"/>
    <w:rsid w:val="00357D08"/>
    <w:rsid w:val="00361608"/>
    <w:rsid w:val="00361AC3"/>
    <w:rsid w:val="00361D8D"/>
    <w:rsid w:val="00362D8D"/>
    <w:rsid w:val="003635EB"/>
    <w:rsid w:val="00363EC5"/>
    <w:rsid w:val="00365B42"/>
    <w:rsid w:val="00367A19"/>
    <w:rsid w:val="0037031E"/>
    <w:rsid w:val="003703A6"/>
    <w:rsid w:val="00371349"/>
    <w:rsid w:val="00371BCB"/>
    <w:rsid w:val="00374554"/>
    <w:rsid w:val="00375132"/>
    <w:rsid w:val="00375938"/>
    <w:rsid w:val="00375ED5"/>
    <w:rsid w:val="00376C82"/>
    <w:rsid w:val="003779AE"/>
    <w:rsid w:val="00381696"/>
    <w:rsid w:val="0038169C"/>
    <w:rsid w:val="00382212"/>
    <w:rsid w:val="003836B9"/>
    <w:rsid w:val="00384C4E"/>
    <w:rsid w:val="00384D2C"/>
    <w:rsid w:val="0038604C"/>
    <w:rsid w:val="0038688C"/>
    <w:rsid w:val="00390537"/>
    <w:rsid w:val="00390566"/>
    <w:rsid w:val="00390A26"/>
    <w:rsid w:val="00391270"/>
    <w:rsid w:val="003913D4"/>
    <w:rsid w:val="00392C59"/>
    <w:rsid w:val="00393CBB"/>
    <w:rsid w:val="0039403D"/>
    <w:rsid w:val="003943C0"/>
    <w:rsid w:val="00394B9C"/>
    <w:rsid w:val="00395CE1"/>
    <w:rsid w:val="0039677A"/>
    <w:rsid w:val="00396862"/>
    <w:rsid w:val="00396C1C"/>
    <w:rsid w:val="003975E2"/>
    <w:rsid w:val="003A039D"/>
    <w:rsid w:val="003A0876"/>
    <w:rsid w:val="003A0A8A"/>
    <w:rsid w:val="003A0AFD"/>
    <w:rsid w:val="003A0B77"/>
    <w:rsid w:val="003A0F99"/>
    <w:rsid w:val="003A1146"/>
    <w:rsid w:val="003A1267"/>
    <w:rsid w:val="003A2CFC"/>
    <w:rsid w:val="003A314F"/>
    <w:rsid w:val="003A3C89"/>
    <w:rsid w:val="003A4B8C"/>
    <w:rsid w:val="003A5249"/>
    <w:rsid w:val="003A59A2"/>
    <w:rsid w:val="003A5A75"/>
    <w:rsid w:val="003A662A"/>
    <w:rsid w:val="003A7750"/>
    <w:rsid w:val="003A7854"/>
    <w:rsid w:val="003A7EC7"/>
    <w:rsid w:val="003B04A4"/>
    <w:rsid w:val="003B0EE0"/>
    <w:rsid w:val="003B114B"/>
    <w:rsid w:val="003B1A58"/>
    <w:rsid w:val="003B2951"/>
    <w:rsid w:val="003B3281"/>
    <w:rsid w:val="003B5B49"/>
    <w:rsid w:val="003B6778"/>
    <w:rsid w:val="003B69EE"/>
    <w:rsid w:val="003B708D"/>
    <w:rsid w:val="003B7192"/>
    <w:rsid w:val="003B7754"/>
    <w:rsid w:val="003B7CC5"/>
    <w:rsid w:val="003C0322"/>
    <w:rsid w:val="003C0D33"/>
    <w:rsid w:val="003C2130"/>
    <w:rsid w:val="003C223A"/>
    <w:rsid w:val="003C29DB"/>
    <w:rsid w:val="003C3AC9"/>
    <w:rsid w:val="003C3CB0"/>
    <w:rsid w:val="003C47F9"/>
    <w:rsid w:val="003C557C"/>
    <w:rsid w:val="003C65BB"/>
    <w:rsid w:val="003C6AD6"/>
    <w:rsid w:val="003C70E0"/>
    <w:rsid w:val="003D010F"/>
    <w:rsid w:val="003D060B"/>
    <w:rsid w:val="003D0D58"/>
    <w:rsid w:val="003D153D"/>
    <w:rsid w:val="003D1688"/>
    <w:rsid w:val="003D169B"/>
    <w:rsid w:val="003D2F9B"/>
    <w:rsid w:val="003D36C3"/>
    <w:rsid w:val="003D3898"/>
    <w:rsid w:val="003D4847"/>
    <w:rsid w:val="003D5EC2"/>
    <w:rsid w:val="003D665B"/>
    <w:rsid w:val="003D6DBE"/>
    <w:rsid w:val="003D7AF7"/>
    <w:rsid w:val="003D7BCB"/>
    <w:rsid w:val="003D7E27"/>
    <w:rsid w:val="003E0629"/>
    <w:rsid w:val="003E1748"/>
    <w:rsid w:val="003E1A76"/>
    <w:rsid w:val="003E325D"/>
    <w:rsid w:val="003E326E"/>
    <w:rsid w:val="003E383F"/>
    <w:rsid w:val="003E398F"/>
    <w:rsid w:val="003E48E2"/>
    <w:rsid w:val="003E4D83"/>
    <w:rsid w:val="003E6BF1"/>
    <w:rsid w:val="003E753E"/>
    <w:rsid w:val="003F042D"/>
    <w:rsid w:val="003F07E5"/>
    <w:rsid w:val="003F0997"/>
    <w:rsid w:val="003F0D52"/>
    <w:rsid w:val="003F0E3B"/>
    <w:rsid w:val="003F1CCA"/>
    <w:rsid w:val="003F2D73"/>
    <w:rsid w:val="003F3F25"/>
    <w:rsid w:val="003F44DC"/>
    <w:rsid w:val="003F4C26"/>
    <w:rsid w:val="003F5CE9"/>
    <w:rsid w:val="003F5F09"/>
    <w:rsid w:val="003F6B54"/>
    <w:rsid w:val="003F792E"/>
    <w:rsid w:val="003F7BBF"/>
    <w:rsid w:val="00400C6A"/>
    <w:rsid w:val="00400E88"/>
    <w:rsid w:val="004019E4"/>
    <w:rsid w:val="00401F45"/>
    <w:rsid w:val="004023FC"/>
    <w:rsid w:val="0040356B"/>
    <w:rsid w:val="004042A9"/>
    <w:rsid w:val="004056CF"/>
    <w:rsid w:val="004109EF"/>
    <w:rsid w:val="00410D5F"/>
    <w:rsid w:val="00411109"/>
    <w:rsid w:val="00411E44"/>
    <w:rsid w:val="00411FAD"/>
    <w:rsid w:val="004121AD"/>
    <w:rsid w:val="00412A6A"/>
    <w:rsid w:val="0041364C"/>
    <w:rsid w:val="00413E84"/>
    <w:rsid w:val="004141CC"/>
    <w:rsid w:val="00414418"/>
    <w:rsid w:val="00415083"/>
    <w:rsid w:val="0041646F"/>
    <w:rsid w:val="004164BE"/>
    <w:rsid w:val="00417DC3"/>
    <w:rsid w:val="00417FC2"/>
    <w:rsid w:val="004208D6"/>
    <w:rsid w:val="00420C9D"/>
    <w:rsid w:val="00420D3D"/>
    <w:rsid w:val="0042165D"/>
    <w:rsid w:val="00421A54"/>
    <w:rsid w:val="0042248B"/>
    <w:rsid w:val="00423196"/>
    <w:rsid w:val="004233E2"/>
    <w:rsid w:val="0042374B"/>
    <w:rsid w:val="0042443A"/>
    <w:rsid w:val="00424786"/>
    <w:rsid w:val="004266D1"/>
    <w:rsid w:val="00427E75"/>
    <w:rsid w:val="00430688"/>
    <w:rsid w:val="00430ACB"/>
    <w:rsid w:val="004315E0"/>
    <w:rsid w:val="00431988"/>
    <w:rsid w:val="00432178"/>
    <w:rsid w:val="00432A98"/>
    <w:rsid w:val="00432E9C"/>
    <w:rsid w:val="00433CF3"/>
    <w:rsid w:val="004343A1"/>
    <w:rsid w:val="00434482"/>
    <w:rsid w:val="0043484C"/>
    <w:rsid w:val="00434A80"/>
    <w:rsid w:val="0043543C"/>
    <w:rsid w:val="00435880"/>
    <w:rsid w:val="00435CF6"/>
    <w:rsid w:val="00436704"/>
    <w:rsid w:val="00436F5E"/>
    <w:rsid w:val="004371F2"/>
    <w:rsid w:val="0043723D"/>
    <w:rsid w:val="004375D1"/>
    <w:rsid w:val="00437913"/>
    <w:rsid w:val="00437C7C"/>
    <w:rsid w:val="00440973"/>
    <w:rsid w:val="00440AA1"/>
    <w:rsid w:val="0044133C"/>
    <w:rsid w:val="00441EEB"/>
    <w:rsid w:val="00442846"/>
    <w:rsid w:val="004430AB"/>
    <w:rsid w:val="004430D8"/>
    <w:rsid w:val="0044312C"/>
    <w:rsid w:val="00443C18"/>
    <w:rsid w:val="00445BBA"/>
    <w:rsid w:val="004463CD"/>
    <w:rsid w:val="004464DD"/>
    <w:rsid w:val="0044722C"/>
    <w:rsid w:val="00447DA5"/>
    <w:rsid w:val="00450106"/>
    <w:rsid w:val="00450392"/>
    <w:rsid w:val="0045063D"/>
    <w:rsid w:val="00450959"/>
    <w:rsid w:val="00450E2F"/>
    <w:rsid w:val="0045180D"/>
    <w:rsid w:val="00451D79"/>
    <w:rsid w:val="00451F9F"/>
    <w:rsid w:val="0045414B"/>
    <w:rsid w:val="0045432A"/>
    <w:rsid w:val="004551BF"/>
    <w:rsid w:val="00456E13"/>
    <w:rsid w:val="0045763D"/>
    <w:rsid w:val="00460407"/>
    <w:rsid w:val="00460D75"/>
    <w:rsid w:val="00461511"/>
    <w:rsid w:val="00462CBD"/>
    <w:rsid w:val="00463338"/>
    <w:rsid w:val="00463D43"/>
    <w:rsid w:val="004641AD"/>
    <w:rsid w:val="0046534D"/>
    <w:rsid w:val="00465586"/>
    <w:rsid w:val="00465C3D"/>
    <w:rsid w:val="00465DA0"/>
    <w:rsid w:val="00467148"/>
    <w:rsid w:val="0046773B"/>
    <w:rsid w:val="004712CA"/>
    <w:rsid w:val="00472183"/>
    <w:rsid w:val="004729AA"/>
    <w:rsid w:val="00473056"/>
    <w:rsid w:val="0047367D"/>
    <w:rsid w:val="00474A5A"/>
    <w:rsid w:val="00474BF8"/>
    <w:rsid w:val="00474D2C"/>
    <w:rsid w:val="00474D97"/>
    <w:rsid w:val="004752A4"/>
    <w:rsid w:val="0047558A"/>
    <w:rsid w:val="004757DC"/>
    <w:rsid w:val="00475830"/>
    <w:rsid w:val="00475D60"/>
    <w:rsid w:val="00476170"/>
    <w:rsid w:val="004763D5"/>
    <w:rsid w:val="004766D0"/>
    <w:rsid w:val="00476905"/>
    <w:rsid w:val="0047782B"/>
    <w:rsid w:val="004807C3"/>
    <w:rsid w:val="0048099B"/>
    <w:rsid w:val="00480B99"/>
    <w:rsid w:val="00480C35"/>
    <w:rsid w:val="004819F8"/>
    <w:rsid w:val="00482734"/>
    <w:rsid w:val="004828FA"/>
    <w:rsid w:val="004830DE"/>
    <w:rsid w:val="00483161"/>
    <w:rsid w:val="00485C8E"/>
    <w:rsid w:val="004861BF"/>
    <w:rsid w:val="00486319"/>
    <w:rsid w:val="0048672B"/>
    <w:rsid w:val="0048730D"/>
    <w:rsid w:val="00487A6F"/>
    <w:rsid w:val="00487D14"/>
    <w:rsid w:val="00487D4D"/>
    <w:rsid w:val="00490F4D"/>
    <w:rsid w:val="004923DD"/>
    <w:rsid w:val="00492FED"/>
    <w:rsid w:val="00493C14"/>
    <w:rsid w:val="00495462"/>
    <w:rsid w:val="00496A53"/>
    <w:rsid w:val="004971D1"/>
    <w:rsid w:val="00497723"/>
    <w:rsid w:val="004A022F"/>
    <w:rsid w:val="004A0433"/>
    <w:rsid w:val="004A0EEF"/>
    <w:rsid w:val="004A0F97"/>
    <w:rsid w:val="004A1230"/>
    <w:rsid w:val="004A15C5"/>
    <w:rsid w:val="004A3EDF"/>
    <w:rsid w:val="004A3F83"/>
    <w:rsid w:val="004A483D"/>
    <w:rsid w:val="004A640E"/>
    <w:rsid w:val="004A7D7C"/>
    <w:rsid w:val="004B0173"/>
    <w:rsid w:val="004B1528"/>
    <w:rsid w:val="004B1A1A"/>
    <w:rsid w:val="004B1BA4"/>
    <w:rsid w:val="004B1C16"/>
    <w:rsid w:val="004B1E6F"/>
    <w:rsid w:val="004B1F26"/>
    <w:rsid w:val="004B2E04"/>
    <w:rsid w:val="004B2F76"/>
    <w:rsid w:val="004B3923"/>
    <w:rsid w:val="004B3DF9"/>
    <w:rsid w:val="004B58FD"/>
    <w:rsid w:val="004B5D1A"/>
    <w:rsid w:val="004B6BBB"/>
    <w:rsid w:val="004B7982"/>
    <w:rsid w:val="004C020C"/>
    <w:rsid w:val="004C09C2"/>
    <w:rsid w:val="004C0A7D"/>
    <w:rsid w:val="004C11AC"/>
    <w:rsid w:val="004C131C"/>
    <w:rsid w:val="004C26B3"/>
    <w:rsid w:val="004C305A"/>
    <w:rsid w:val="004C3282"/>
    <w:rsid w:val="004C3D8E"/>
    <w:rsid w:val="004C4503"/>
    <w:rsid w:val="004C4E5D"/>
    <w:rsid w:val="004C6C55"/>
    <w:rsid w:val="004C7628"/>
    <w:rsid w:val="004D019F"/>
    <w:rsid w:val="004D1102"/>
    <w:rsid w:val="004D12BC"/>
    <w:rsid w:val="004D2540"/>
    <w:rsid w:val="004D2809"/>
    <w:rsid w:val="004D285B"/>
    <w:rsid w:val="004D2EAD"/>
    <w:rsid w:val="004D3AF1"/>
    <w:rsid w:val="004D5D7E"/>
    <w:rsid w:val="004D6FD1"/>
    <w:rsid w:val="004D7205"/>
    <w:rsid w:val="004D7474"/>
    <w:rsid w:val="004E1A6D"/>
    <w:rsid w:val="004E1EAD"/>
    <w:rsid w:val="004E3021"/>
    <w:rsid w:val="004E3806"/>
    <w:rsid w:val="004E3A6C"/>
    <w:rsid w:val="004E3FBC"/>
    <w:rsid w:val="004E43E9"/>
    <w:rsid w:val="004E453B"/>
    <w:rsid w:val="004E47D9"/>
    <w:rsid w:val="004E488F"/>
    <w:rsid w:val="004E4FEB"/>
    <w:rsid w:val="004E51C2"/>
    <w:rsid w:val="004E59CD"/>
    <w:rsid w:val="004E5E0B"/>
    <w:rsid w:val="004E60D7"/>
    <w:rsid w:val="004E63A9"/>
    <w:rsid w:val="004E6C80"/>
    <w:rsid w:val="004F0C87"/>
    <w:rsid w:val="004F0F98"/>
    <w:rsid w:val="004F11BB"/>
    <w:rsid w:val="004F12FF"/>
    <w:rsid w:val="004F269B"/>
    <w:rsid w:val="004F3D04"/>
    <w:rsid w:val="004F434F"/>
    <w:rsid w:val="004F4A77"/>
    <w:rsid w:val="004F4CB7"/>
    <w:rsid w:val="004F6052"/>
    <w:rsid w:val="004F740B"/>
    <w:rsid w:val="004F7E40"/>
    <w:rsid w:val="00500015"/>
    <w:rsid w:val="005005D2"/>
    <w:rsid w:val="00500E3E"/>
    <w:rsid w:val="0050120A"/>
    <w:rsid w:val="005019EA"/>
    <w:rsid w:val="005032C3"/>
    <w:rsid w:val="00504408"/>
    <w:rsid w:val="00504A57"/>
    <w:rsid w:val="0050613E"/>
    <w:rsid w:val="00506A01"/>
    <w:rsid w:val="00506E4D"/>
    <w:rsid w:val="0050708A"/>
    <w:rsid w:val="00507844"/>
    <w:rsid w:val="00510897"/>
    <w:rsid w:val="005129AE"/>
    <w:rsid w:val="00512ADF"/>
    <w:rsid w:val="0051316E"/>
    <w:rsid w:val="00513BC4"/>
    <w:rsid w:val="00514C0B"/>
    <w:rsid w:val="0051518B"/>
    <w:rsid w:val="005153FD"/>
    <w:rsid w:val="0051576D"/>
    <w:rsid w:val="00515BD9"/>
    <w:rsid w:val="00515C80"/>
    <w:rsid w:val="005167C9"/>
    <w:rsid w:val="0051685A"/>
    <w:rsid w:val="005207EE"/>
    <w:rsid w:val="00521E60"/>
    <w:rsid w:val="00522192"/>
    <w:rsid w:val="005229F8"/>
    <w:rsid w:val="0052317B"/>
    <w:rsid w:val="00523ACD"/>
    <w:rsid w:val="00523B10"/>
    <w:rsid w:val="00523D9E"/>
    <w:rsid w:val="00523F43"/>
    <w:rsid w:val="00524417"/>
    <w:rsid w:val="00524700"/>
    <w:rsid w:val="005252D1"/>
    <w:rsid w:val="00525CB9"/>
    <w:rsid w:val="00525FD4"/>
    <w:rsid w:val="005265C6"/>
    <w:rsid w:val="005271A6"/>
    <w:rsid w:val="00527F58"/>
    <w:rsid w:val="00530898"/>
    <w:rsid w:val="0053198B"/>
    <w:rsid w:val="00531B9A"/>
    <w:rsid w:val="00531EDC"/>
    <w:rsid w:val="0053273B"/>
    <w:rsid w:val="00533754"/>
    <w:rsid w:val="00533A1C"/>
    <w:rsid w:val="00533BF8"/>
    <w:rsid w:val="00533E61"/>
    <w:rsid w:val="00534923"/>
    <w:rsid w:val="00534984"/>
    <w:rsid w:val="00534B85"/>
    <w:rsid w:val="005352B0"/>
    <w:rsid w:val="00535F13"/>
    <w:rsid w:val="00536DB7"/>
    <w:rsid w:val="00536E66"/>
    <w:rsid w:val="00536F78"/>
    <w:rsid w:val="00540A81"/>
    <w:rsid w:val="005411A8"/>
    <w:rsid w:val="00541375"/>
    <w:rsid w:val="00541693"/>
    <w:rsid w:val="005418F2"/>
    <w:rsid w:val="00541955"/>
    <w:rsid w:val="0054373D"/>
    <w:rsid w:val="00545F98"/>
    <w:rsid w:val="00546156"/>
    <w:rsid w:val="00546A2F"/>
    <w:rsid w:val="00547189"/>
    <w:rsid w:val="005475B0"/>
    <w:rsid w:val="00550CED"/>
    <w:rsid w:val="00550F1C"/>
    <w:rsid w:val="005516B8"/>
    <w:rsid w:val="005516D4"/>
    <w:rsid w:val="00551EF0"/>
    <w:rsid w:val="0055227F"/>
    <w:rsid w:val="005524C6"/>
    <w:rsid w:val="00552D09"/>
    <w:rsid w:val="0055367B"/>
    <w:rsid w:val="00554405"/>
    <w:rsid w:val="0055473D"/>
    <w:rsid w:val="005552FF"/>
    <w:rsid w:val="0055778E"/>
    <w:rsid w:val="00557E57"/>
    <w:rsid w:val="00560A8D"/>
    <w:rsid w:val="00561BD5"/>
    <w:rsid w:val="00561D0B"/>
    <w:rsid w:val="00562C1A"/>
    <w:rsid w:val="00563506"/>
    <w:rsid w:val="0056394E"/>
    <w:rsid w:val="00563C1F"/>
    <w:rsid w:val="005641D0"/>
    <w:rsid w:val="0056562C"/>
    <w:rsid w:val="00565956"/>
    <w:rsid w:val="005707B4"/>
    <w:rsid w:val="005707FE"/>
    <w:rsid w:val="00570C07"/>
    <w:rsid w:val="00571896"/>
    <w:rsid w:val="00571C0F"/>
    <w:rsid w:val="0057206B"/>
    <w:rsid w:val="00572418"/>
    <w:rsid w:val="0057272F"/>
    <w:rsid w:val="00572E2A"/>
    <w:rsid w:val="00573B5F"/>
    <w:rsid w:val="0057400E"/>
    <w:rsid w:val="0057499E"/>
    <w:rsid w:val="00574E88"/>
    <w:rsid w:val="00574FCF"/>
    <w:rsid w:val="0057543F"/>
    <w:rsid w:val="00575C54"/>
    <w:rsid w:val="00575D84"/>
    <w:rsid w:val="00576480"/>
    <w:rsid w:val="0057678A"/>
    <w:rsid w:val="00576AA6"/>
    <w:rsid w:val="005771CC"/>
    <w:rsid w:val="005814C3"/>
    <w:rsid w:val="0058175C"/>
    <w:rsid w:val="00581CD8"/>
    <w:rsid w:val="005820B2"/>
    <w:rsid w:val="005848CA"/>
    <w:rsid w:val="005859E7"/>
    <w:rsid w:val="0058646C"/>
    <w:rsid w:val="00586547"/>
    <w:rsid w:val="00586E80"/>
    <w:rsid w:val="005922EB"/>
    <w:rsid w:val="00592482"/>
    <w:rsid w:val="00592F28"/>
    <w:rsid w:val="005932E3"/>
    <w:rsid w:val="005933B4"/>
    <w:rsid w:val="00593C60"/>
    <w:rsid w:val="00593E63"/>
    <w:rsid w:val="005942AB"/>
    <w:rsid w:val="0059464F"/>
    <w:rsid w:val="005953CC"/>
    <w:rsid w:val="00595E7E"/>
    <w:rsid w:val="005966D4"/>
    <w:rsid w:val="0059678B"/>
    <w:rsid w:val="00596E19"/>
    <w:rsid w:val="00597700"/>
    <w:rsid w:val="00597876"/>
    <w:rsid w:val="005A02DB"/>
    <w:rsid w:val="005A20F8"/>
    <w:rsid w:val="005A23AA"/>
    <w:rsid w:val="005A33C1"/>
    <w:rsid w:val="005A37D1"/>
    <w:rsid w:val="005A4051"/>
    <w:rsid w:val="005A43CC"/>
    <w:rsid w:val="005A4AA5"/>
    <w:rsid w:val="005A4FF5"/>
    <w:rsid w:val="005A58FE"/>
    <w:rsid w:val="005B00F0"/>
    <w:rsid w:val="005B05FE"/>
    <w:rsid w:val="005B06EA"/>
    <w:rsid w:val="005B0806"/>
    <w:rsid w:val="005B0AD5"/>
    <w:rsid w:val="005B1030"/>
    <w:rsid w:val="005B1414"/>
    <w:rsid w:val="005B24CA"/>
    <w:rsid w:val="005B2C22"/>
    <w:rsid w:val="005B2D3C"/>
    <w:rsid w:val="005B4346"/>
    <w:rsid w:val="005B5317"/>
    <w:rsid w:val="005B5E48"/>
    <w:rsid w:val="005B69EE"/>
    <w:rsid w:val="005B6DB5"/>
    <w:rsid w:val="005B76CD"/>
    <w:rsid w:val="005B7C9D"/>
    <w:rsid w:val="005C09EA"/>
    <w:rsid w:val="005C22D1"/>
    <w:rsid w:val="005C255E"/>
    <w:rsid w:val="005C2590"/>
    <w:rsid w:val="005C3ABB"/>
    <w:rsid w:val="005C45F9"/>
    <w:rsid w:val="005C4D86"/>
    <w:rsid w:val="005C67E1"/>
    <w:rsid w:val="005C7AEB"/>
    <w:rsid w:val="005D054D"/>
    <w:rsid w:val="005D159D"/>
    <w:rsid w:val="005D18A4"/>
    <w:rsid w:val="005D19C7"/>
    <w:rsid w:val="005D2053"/>
    <w:rsid w:val="005D2DB2"/>
    <w:rsid w:val="005D33B9"/>
    <w:rsid w:val="005D37DF"/>
    <w:rsid w:val="005D4673"/>
    <w:rsid w:val="005D5AD2"/>
    <w:rsid w:val="005D5AFA"/>
    <w:rsid w:val="005D6955"/>
    <w:rsid w:val="005D73AA"/>
    <w:rsid w:val="005D7474"/>
    <w:rsid w:val="005D76C3"/>
    <w:rsid w:val="005E0072"/>
    <w:rsid w:val="005E10B1"/>
    <w:rsid w:val="005E147A"/>
    <w:rsid w:val="005E16DD"/>
    <w:rsid w:val="005E174F"/>
    <w:rsid w:val="005E1DCC"/>
    <w:rsid w:val="005E20FB"/>
    <w:rsid w:val="005E2761"/>
    <w:rsid w:val="005E40B2"/>
    <w:rsid w:val="005E492C"/>
    <w:rsid w:val="005E5786"/>
    <w:rsid w:val="005E5F61"/>
    <w:rsid w:val="005E65A6"/>
    <w:rsid w:val="005F1B82"/>
    <w:rsid w:val="005F1D99"/>
    <w:rsid w:val="005F27D7"/>
    <w:rsid w:val="005F28D2"/>
    <w:rsid w:val="005F2AA5"/>
    <w:rsid w:val="005F2E12"/>
    <w:rsid w:val="005F32E6"/>
    <w:rsid w:val="005F3425"/>
    <w:rsid w:val="005F39D2"/>
    <w:rsid w:val="005F3BD1"/>
    <w:rsid w:val="005F4386"/>
    <w:rsid w:val="005F4894"/>
    <w:rsid w:val="005F6E4E"/>
    <w:rsid w:val="005F7AD7"/>
    <w:rsid w:val="005F7E25"/>
    <w:rsid w:val="00600303"/>
    <w:rsid w:val="0060149E"/>
    <w:rsid w:val="00604BCC"/>
    <w:rsid w:val="00605974"/>
    <w:rsid w:val="006062FF"/>
    <w:rsid w:val="006068B4"/>
    <w:rsid w:val="006069DA"/>
    <w:rsid w:val="00607A7A"/>
    <w:rsid w:val="0061148B"/>
    <w:rsid w:val="00611AC4"/>
    <w:rsid w:val="00611E2C"/>
    <w:rsid w:val="00612FC3"/>
    <w:rsid w:val="00612FEF"/>
    <w:rsid w:val="00615662"/>
    <w:rsid w:val="006157E1"/>
    <w:rsid w:val="006168AC"/>
    <w:rsid w:val="00616B36"/>
    <w:rsid w:val="00617160"/>
    <w:rsid w:val="00617F9F"/>
    <w:rsid w:val="00617FA2"/>
    <w:rsid w:val="00617FDD"/>
    <w:rsid w:val="006204EF"/>
    <w:rsid w:val="006216ED"/>
    <w:rsid w:val="00621ED3"/>
    <w:rsid w:val="006223B1"/>
    <w:rsid w:val="00623408"/>
    <w:rsid w:val="00623F6A"/>
    <w:rsid w:val="00624067"/>
    <w:rsid w:val="00624227"/>
    <w:rsid w:val="00625D81"/>
    <w:rsid w:val="0062689F"/>
    <w:rsid w:val="00627639"/>
    <w:rsid w:val="00630CD6"/>
    <w:rsid w:val="00630E72"/>
    <w:rsid w:val="00631BCE"/>
    <w:rsid w:val="00632481"/>
    <w:rsid w:val="006325F9"/>
    <w:rsid w:val="00633109"/>
    <w:rsid w:val="0063359F"/>
    <w:rsid w:val="00634BDD"/>
    <w:rsid w:val="006356BB"/>
    <w:rsid w:val="00640D82"/>
    <w:rsid w:val="00641359"/>
    <w:rsid w:val="006413DF"/>
    <w:rsid w:val="00641725"/>
    <w:rsid w:val="006419C8"/>
    <w:rsid w:val="00641EE4"/>
    <w:rsid w:val="00642557"/>
    <w:rsid w:val="0064317B"/>
    <w:rsid w:val="00643277"/>
    <w:rsid w:val="0064333C"/>
    <w:rsid w:val="00643744"/>
    <w:rsid w:val="006444A6"/>
    <w:rsid w:val="00644739"/>
    <w:rsid w:val="006460B7"/>
    <w:rsid w:val="00646407"/>
    <w:rsid w:val="0064663C"/>
    <w:rsid w:val="006469D2"/>
    <w:rsid w:val="00646CE1"/>
    <w:rsid w:val="00646F23"/>
    <w:rsid w:val="00646F93"/>
    <w:rsid w:val="006472B0"/>
    <w:rsid w:val="00647CDA"/>
    <w:rsid w:val="006501E3"/>
    <w:rsid w:val="006507B9"/>
    <w:rsid w:val="00651394"/>
    <w:rsid w:val="006525FB"/>
    <w:rsid w:val="00652689"/>
    <w:rsid w:val="006533A7"/>
    <w:rsid w:val="0065588B"/>
    <w:rsid w:val="00655990"/>
    <w:rsid w:val="00655FF9"/>
    <w:rsid w:val="006562FD"/>
    <w:rsid w:val="006563A6"/>
    <w:rsid w:val="00660724"/>
    <w:rsid w:val="00660AD3"/>
    <w:rsid w:val="00660E95"/>
    <w:rsid w:val="00661E8B"/>
    <w:rsid w:val="006625B9"/>
    <w:rsid w:val="00662DD7"/>
    <w:rsid w:val="006641CB"/>
    <w:rsid w:val="00666AF8"/>
    <w:rsid w:val="00667335"/>
    <w:rsid w:val="00667F0F"/>
    <w:rsid w:val="006706E7"/>
    <w:rsid w:val="00670EEC"/>
    <w:rsid w:val="00671632"/>
    <w:rsid w:val="00672C6C"/>
    <w:rsid w:val="00673C38"/>
    <w:rsid w:val="00673EB2"/>
    <w:rsid w:val="006743E6"/>
    <w:rsid w:val="00674701"/>
    <w:rsid w:val="00674846"/>
    <w:rsid w:val="00675383"/>
    <w:rsid w:val="006755CA"/>
    <w:rsid w:val="0067658C"/>
    <w:rsid w:val="00676A82"/>
    <w:rsid w:val="00676FA2"/>
    <w:rsid w:val="0067751E"/>
    <w:rsid w:val="00677655"/>
    <w:rsid w:val="0067773B"/>
    <w:rsid w:val="00677B49"/>
    <w:rsid w:val="00680082"/>
    <w:rsid w:val="00680CD9"/>
    <w:rsid w:val="00680D22"/>
    <w:rsid w:val="00680E1B"/>
    <w:rsid w:val="00681168"/>
    <w:rsid w:val="0068186F"/>
    <w:rsid w:val="00681C8A"/>
    <w:rsid w:val="00681FE7"/>
    <w:rsid w:val="00682137"/>
    <w:rsid w:val="00683046"/>
    <w:rsid w:val="00683785"/>
    <w:rsid w:val="00684CBA"/>
    <w:rsid w:val="006851E0"/>
    <w:rsid w:val="006867D5"/>
    <w:rsid w:val="00687966"/>
    <w:rsid w:val="00687A88"/>
    <w:rsid w:val="00690ABF"/>
    <w:rsid w:val="00690DD8"/>
    <w:rsid w:val="00691ECD"/>
    <w:rsid w:val="0069222D"/>
    <w:rsid w:val="00692BA9"/>
    <w:rsid w:val="00692C96"/>
    <w:rsid w:val="00693935"/>
    <w:rsid w:val="00693F79"/>
    <w:rsid w:val="0069517A"/>
    <w:rsid w:val="00696C1E"/>
    <w:rsid w:val="00697C63"/>
    <w:rsid w:val="006A01F8"/>
    <w:rsid w:val="006A5012"/>
    <w:rsid w:val="006A5A4C"/>
    <w:rsid w:val="006A6002"/>
    <w:rsid w:val="006A7575"/>
    <w:rsid w:val="006A79BB"/>
    <w:rsid w:val="006B1925"/>
    <w:rsid w:val="006B1966"/>
    <w:rsid w:val="006B1DF4"/>
    <w:rsid w:val="006B1F2F"/>
    <w:rsid w:val="006B23D6"/>
    <w:rsid w:val="006B2BBB"/>
    <w:rsid w:val="006B3195"/>
    <w:rsid w:val="006B3285"/>
    <w:rsid w:val="006B3D87"/>
    <w:rsid w:val="006B4216"/>
    <w:rsid w:val="006B43CB"/>
    <w:rsid w:val="006B5F84"/>
    <w:rsid w:val="006B622F"/>
    <w:rsid w:val="006B7D35"/>
    <w:rsid w:val="006C259F"/>
    <w:rsid w:val="006C283A"/>
    <w:rsid w:val="006C2B29"/>
    <w:rsid w:val="006C2DE6"/>
    <w:rsid w:val="006C31D6"/>
    <w:rsid w:val="006C3860"/>
    <w:rsid w:val="006C4328"/>
    <w:rsid w:val="006C4B26"/>
    <w:rsid w:val="006C51D5"/>
    <w:rsid w:val="006C6027"/>
    <w:rsid w:val="006C6196"/>
    <w:rsid w:val="006C664A"/>
    <w:rsid w:val="006C6AA9"/>
    <w:rsid w:val="006C6C34"/>
    <w:rsid w:val="006C750D"/>
    <w:rsid w:val="006D00E6"/>
    <w:rsid w:val="006D014D"/>
    <w:rsid w:val="006D09AB"/>
    <w:rsid w:val="006D134C"/>
    <w:rsid w:val="006D1D6A"/>
    <w:rsid w:val="006D1D77"/>
    <w:rsid w:val="006D2355"/>
    <w:rsid w:val="006D3975"/>
    <w:rsid w:val="006D3AF4"/>
    <w:rsid w:val="006D3CA8"/>
    <w:rsid w:val="006D3CB1"/>
    <w:rsid w:val="006D5BDF"/>
    <w:rsid w:val="006D6101"/>
    <w:rsid w:val="006D6EEE"/>
    <w:rsid w:val="006E00C8"/>
    <w:rsid w:val="006E1282"/>
    <w:rsid w:val="006E25A0"/>
    <w:rsid w:val="006E4992"/>
    <w:rsid w:val="006E4D72"/>
    <w:rsid w:val="006E5418"/>
    <w:rsid w:val="006E57E5"/>
    <w:rsid w:val="006E6C5D"/>
    <w:rsid w:val="006E6D47"/>
    <w:rsid w:val="006E716B"/>
    <w:rsid w:val="006E75D2"/>
    <w:rsid w:val="006E7A5E"/>
    <w:rsid w:val="006E7E54"/>
    <w:rsid w:val="006F0BF7"/>
    <w:rsid w:val="006F115E"/>
    <w:rsid w:val="006F11A3"/>
    <w:rsid w:val="006F1435"/>
    <w:rsid w:val="006F21F0"/>
    <w:rsid w:val="006F2990"/>
    <w:rsid w:val="006F2D0A"/>
    <w:rsid w:val="006F38E5"/>
    <w:rsid w:val="006F394B"/>
    <w:rsid w:val="006F3FD3"/>
    <w:rsid w:val="006F4C9A"/>
    <w:rsid w:val="006F6B0B"/>
    <w:rsid w:val="006F72AB"/>
    <w:rsid w:val="006F735C"/>
    <w:rsid w:val="006F74BC"/>
    <w:rsid w:val="006F782A"/>
    <w:rsid w:val="006F7C63"/>
    <w:rsid w:val="00700065"/>
    <w:rsid w:val="00700A93"/>
    <w:rsid w:val="00700B3C"/>
    <w:rsid w:val="0070135E"/>
    <w:rsid w:val="007025E3"/>
    <w:rsid w:val="0070358E"/>
    <w:rsid w:val="00703E9C"/>
    <w:rsid w:val="00704A30"/>
    <w:rsid w:val="00704ED8"/>
    <w:rsid w:val="0070583A"/>
    <w:rsid w:val="00707398"/>
    <w:rsid w:val="0070758C"/>
    <w:rsid w:val="00707932"/>
    <w:rsid w:val="00707ED4"/>
    <w:rsid w:val="007101C9"/>
    <w:rsid w:val="00710BEB"/>
    <w:rsid w:val="00711D95"/>
    <w:rsid w:val="00712816"/>
    <w:rsid w:val="00712A81"/>
    <w:rsid w:val="00713666"/>
    <w:rsid w:val="00714673"/>
    <w:rsid w:val="0071635E"/>
    <w:rsid w:val="00716542"/>
    <w:rsid w:val="00717059"/>
    <w:rsid w:val="00717E19"/>
    <w:rsid w:val="00720DA1"/>
    <w:rsid w:val="00721193"/>
    <w:rsid w:val="00721F9F"/>
    <w:rsid w:val="00723269"/>
    <w:rsid w:val="00723351"/>
    <w:rsid w:val="007234BF"/>
    <w:rsid w:val="007236CD"/>
    <w:rsid w:val="00723763"/>
    <w:rsid w:val="00723A7D"/>
    <w:rsid w:val="00725807"/>
    <w:rsid w:val="00725D22"/>
    <w:rsid w:val="007260DB"/>
    <w:rsid w:val="00727C23"/>
    <w:rsid w:val="00727C6A"/>
    <w:rsid w:val="0073129D"/>
    <w:rsid w:val="00731911"/>
    <w:rsid w:val="0073228C"/>
    <w:rsid w:val="007322B0"/>
    <w:rsid w:val="007325C9"/>
    <w:rsid w:val="0073320C"/>
    <w:rsid w:val="00733C4C"/>
    <w:rsid w:val="007346BA"/>
    <w:rsid w:val="0073491F"/>
    <w:rsid w:val="00734B88"/>
    <w:rsid w:val="007402B4"/>
    <w:rsid w:val="00740B70"/>
    <w:rsid w:val="00741232"/>
    <w:rsid w:val="00741921"/>
    <w:rsid w:val="007423CF"/>
    <w:rsid w:val="0074356C"/>
    <w:rsid w:val="00743D2E"/>
    <w:rsid w:val="00743F94"/>
    <w:rsid w:val="007443F4"/>
    <w:rsid w:val="00745752"/>
    <w:rsid w:val="00745EE2"/>
    <w:rsid w:val="007465EA"/>
    <w:rsid w:val="007468B5"/>
    <w:rsid w:val="00746AB8"/>
    <w:rsid w:val="00746ABA"/>
    <w:rsid w:val="00746DC1"/>
    <w:rsid w:val="00747C9B"/>
    <w:rsid w:val="00747F1B"/>
    <w:rsid w:val="00750AEA"/>
    <w:rsid w:val="007511CA"/>
    <w:rsid w:val="00751AFE"/>
    <w:rsid w:val="00751BCC"/>
    <w:rsid w:val="007523A3"/>
    <w:rsid w:val="0075250B"/>
    <w:rsid w:val="0075377C"/>
    <w:rsid w:val="00753C03"/>
    <w:rsid w:val="00754413"/>
    <w:rsid w:val="007544D7"/>
    <w:rsid w:val="0075455C"/>
    <w:rsid w:val="007545B5"/>
    <w:rsid w:val="00754870"/>
    <w:rsid w:val="00754CDE"/>
    <w:rsid w:val="007550EE"/>
    <w:rsid w:val="00755175"/>
    <w:rsid w:val="007555BE"/>
    <w:rsid w:val="0075665C"/>
    <w:rsid w:val="0075667E"/>
    <w:rsid w:val="007568B4"/>
    <w:rsid w:val="00760FA5"/>
    <w:rsid w:val="00761FBD"/>
    <w:rsid w:val="00762412"/>
    <w:rsid w:val="007628FC"/>
    <w:rsid w:val="00762F11"/>
    <w:rsid w:val="0076351E"/>
    <w:rsid w:val="0076473D"/>
    <w:rsid w:val="007650C2"/>
    <w:rsid w:val="007651B0"/>
    <w:rsid w:val="0076635E"/>
    <w:rsid w:val="00766727"/>
    <w:rsid w:val="00770A05"/>
    <w:rsid w:val="007719E9"/>
    <w:rsid w:val="00771EB8"/>
    <w:rsid w:val="00773EAA"/>
    <w:rsid w:val="007741D2"/>
    <w:rsid w:val="00774F6F"/>
    <w:rsid w:val="0077603C"/>
    <w:rsid w:val="00776CC7"/>
    <w:rsid w:val="00776DEC"/>
    <w:rsid w:val="00780323"/>
    <w:rsid w:val="007806E6"/>
    <w:rsid w:val="00782A31"/>
    <w:rsid w:val="00782A4E"/>
    <w:rsid w:val="00783178"/>
    <w:rsid w:val="0078486F"/>
    <w:rsid w:val="00785DE8"/>
    <w:rsid w:val="00786BC0"/>
    <w:rsid w:val="007870A6"/>
    <w:rsid w:val="007875E7"/>
    <w:rsid w:val="00787B63"/>
    <w:rsid w:val="00792376"/>
    <w:rsid w:val="00793D6B"/>
    <w:rsid w:val="00794F4A"/>
    <w:rsid w:val="00795653"/>
    <w:rsid w:val="007965F2"/>
    <w:rsid w:val="007967FA"/>
    <w:rsid w:val="00796C3B"/>
    <w:rsid w:val="00797080"/>
    <w:rsid w:val="007975C6"/>
    <w:rsid w:val="00797626"/>
    <w:rsid w:val="00797D24"/>
    <w:rsid w:val="00797E83"/>
    <w:rsid w:val="007A0143"/>
    <w:rsid w:val="007A017A"/>
    <w:rsid w:val="007A019D"/>
    <w:rsid w:val="007A28C0"/>
    <w:rsid w:val="007A30B7"/>
    <w:rsid w:val="007A4E08"/>
    <w:rsid w:val="007A64F4"/>
    <w:rsid w:val="007A7A6A"/>
    <w:rsid w:val="007B0112"/>
    <w:rsid w:val="007B0386"/>
    <w:rsid w:val="007B1189"/>
    <w:rsid w:val="007B128E"/>
    <w:rsid w:val="007B1BA4"/>
    <w:rsid w:val="007B203A"/>
    <w:rsid w:val="007B21E2"/>
    <w:rsid w:val="007B274F"/>
    <w:rsid w:val="007B2A94"/>
    <w:rsid w:val="007B3226"/>
    <w:rsid w:val="007B4122"/>
    <w:rsid w:val="007B5290"/>
    <w:rsid w:val="007B5534"/>
    <w:rsid w:val="007B6A03"/>
    <w:rsid w:val="007B71C8"/>
    <w:rsid w:val="007B7CF2"/>
    <w:rsid w:val="007B7DFD"/>
    <w:rsid w:val="007C0F5A"/>
    <w:rsid w:val="007C12F7"/>
    <w:rsid w:val="007C2DCB"/>
    <w:rsid w:val="007C30F4"/>
    <w:rsid w:val="007C31B0"/>
    <w:rsid w:val="007C3900"/>
    <w:rsid w:val="007C3D92"/>
    <w:rsid w:val="007C4090"/>
    <w:rsid w:val="007C42EA"/>
    <w:rsid w:val="007C45BC"/>
    <w:rsid w:val="007C4A93"/>
    <w:rsid w:val="007C4E73"/>
    <w:rsid w:val="007C5655"/>
    <w:rsid w:val="007C652B"/>
    <w:rsid w:val="007C7C7F"/>
    <w:rsid w:val="007D00C6"/>
    <w:rsid w:val="007D04B8"/>
    <w:rsid w:val="007D0B63"/>
    <w:rsid w:val="007D1D6F"/>
    <w:rsid w:val="007D2955"/>
    <w:rsid w:val="007D36A9"/>
    <w:rsid w:val="007D400D"/>
    <w:rsid w:val="007D4706"/>
    <w:rsid w:val="007D5021"/>
    <w:rsid w:val="007D5B3E"/>
    <w:rsid w:val="007E01EA"/>
    <w:rsid w:val="007E0A3D"/>
    <w:rsid w:val="007E1391"/>
    <w:rsid w:val="007E1474"/>
    <w:rsid w:val="007E1508"/>
    <w:rsid w:val="007E1788"/>
    <w:rsid w:val="007E2042"/>
    <w:rsid w:val="007E29F0"/>
    <w:rsid w:val="007E2CA4"/>
    <w:rsid w:val="007E2D09"/>
    <w:rsid w:val="007E3A9B"/>
    <w:rsid w:val="007E3CD2"/>
    <w:rsid w:val="007E493D"/>
    <w:rsid w:val="007E4C16"/>
    <w:rsid w:val="007E50F6"/>
    <w:rsid w:val="007E527F"/>
    <w:rsid w:val="007E5732"/>
    <w:rsid w:val="007E5E69"/>
    <w:rsid w:val="007E640E"/>
    <w:rsid w:val="007E6419"/>
    <w:rsid w:val="007E6DBA"/>
    <w:rsid w:val="007E6EEE"/>
    <w:rsid w:val="007E791E"/>
    <w:rsid w:val="007E79DF"/>
    <w:rsid w:val="007E7E38"/>
    <w:rsid w:val="007F06AB"/>
    <w:rsid w:val="007F0B9C"/>
    <w:rsid w:val="007F1864"/>
    <w:rsid w:val="007F1CC3"/>
    <w:rsid w:val="007F2E6C"/>
    <w:rsid w:val="007F300F"/>
    <w:rsid w:val="007F48FF"/>
    <w:rsid w:val="007F4964"/>
    <w:rsid w:val="007F4B5E"/>
    <w:rsid w:val="007F4F3D"/>
    <w:rsid w:val="007F5E5C"/>
    <w:rsid w:val="007F6797"/>
    <w:rsid w:val="007F746B"/>
    <w:rsid w:val="007F7538"/>
    <w:rsid w:val="0080152D"/>
    <w:rsid w:val="00801FC0"/>
    <w:rsid w:val="00802593"/>
    <w:rsid w:val="0080538F"/>
    <w:rsid w:val="00805E11"/>
    <w:rsid w:val="00806DCF"/>
    <w:rsid w:val="00806EA5"/>
    <w:rsid w:val="008077A8"/>
    <w:rsid w:val="00811E32"/>
    <w:rsid w:val="00813055"/>
    <w:rsid w:val="00814267"/>
    <w:rsid w:val="00815D14"/>
    <w:rsid w:val="00815D7B"/>
    <w:rsid w:val="008163E6"/>
    <w:rsid w:val="00817367"/>
    <w:rsid w:val="008174B7"/>
    <w:rsid w:val="008205F7"/>
    <w:rsid w:val="0082094A"/>
    <w:rsid w:val="008222BD"/>
    <w:rsid w:val="008223E5"/>
    <w:rsid w:val="008227A5"/>
    <w:rsid w:val="0082349A"/>
    <w:rsid w:val="00824436"/>
    <w:rsid w:val="008245E4"/>
    <w:rsid w:val="00824A63"/>
    <w:rsid w:val="00824F78"/>
    <w:rsid w:val="0082542D"/>
    <w:rsid w:val="0082781B"/>
    <w:rsid w:val="00830258"/>
    <w:rsid w:val="00830485"/>
    <w:rsid w:val="00830E34"/>
    <w:rsid w:val="0083108A"/>
    <w:rsid w:val="00831F2A"/>
    <w:rsid w:val="008322A6"/>
    <w:rsid w:val="00832BE9"/>
    <w:rsid w:val="00834119"/>
    <w:rsid w:val="0083425A"/>
    <w:rsid w:val="00834701"/>
    <w:rsid w:val="00834AB3"/>
    <w:rsid w:val="00834C55"/>
    <w:rsid w:val="00834D96"/>
    <w:rsid w:val="00834F62"/>
    <w:rsid w:val="00835297"/>
    <w:rsid w:val="00835BBF"/>
    <w:rsid w:val="0083623E"/>
    <w:rsid w:val="00836D0A"/>
    <w:rsid w:val="00841BCB"/>
    <w:rsid w:val="0084306F"/>
    <w:rsid w:val="0084363E"/>
    <w:rsid w:val="00843B24"/>
    <w:rsid w:val="008447EA"/>
    <w:rsid w:val="008449A7"/>
    <w:rsid w:val="00844CDF"/>
    <w:rsid w:val="00845EDE"/>
    <w:rsid w:val="008464E1"/>
    <w:rsid w:val="0084651F"/>
    <w:rsid w:val="008469E0"/>
    <w:rsid w:val="00846BF2"/>
    <w:rsid w:val="00847196"/>
    <w:rsid w:val="00847925"/>
    <w:rsid w:val="00850166"/>
    <w:rsid w:val="00850B9C"/>
    <w:rsid w:val="00850E96"/>
    <w:rsid w:val="00851510"/>
    <w:rsid w:val="008521AF"/>
    <w:rsid w:val="0085314D"/>
    <w:rsid w:val="00853ED9"/>
    <w:rsid w:val="00854F35"/>
    <w:rsid w:val="00855932"/>
    <w:rsid w:val="00856A24"/>
    <w:rsid w:val="0085703F"/>
    <w:rsid w:val="00857AEA"/>
    <w:rsid w:val="008609DA"/>
    <w:rsid w:val="00860D6F"/>
    <w:rsid w:val="008618FB"/>
    <w:rsid w:val="00861902"/>
    <w:rsid w:val="00862325"/>
    <w:rsid w:val="00862D56"/>
    <w:rsid w:val="00862FDB"/>
    <w:rsid w:val="0086346F"/>
    <w:rsid w:val="00864059"/>
    <w:rsid w:val="00864407"/>
    <w:rsid w:val="008646F1"/>
    <w:rsid w:val="00864DE6"/>
    <w:rsid w:val="0086529E"/>
    <w:rsid w:val="00865996"/>
    <w:rsid w:val="00865A3F"/>
    <w:rsid w:val="008660B5"/>
    <w:rsid w:val="008661B2"/>
    <w:rsid w:val="00866324"/>
    <w:rsid w:val="008671CA"/>
    <w:rsid w:val="0086736A"/>
    <w:rsid w:val="008675E4"/>
    <w:rsid w:val="00870493"/>
    <w:rsid w:val="00870851"/>
    <w:rsid w:val="00871925"/>
    <w:rsid w:val="008722A9"/>
    <w:rsid w:val="008722EE"/>
    <w:rsid w:val="00872E8C"/>
    <w:rsid w:val="0087319B"/>
    <w:rsid w:val="00874E46"/>
    <w:rsid w:val="00874FF7"/>
    <w:rsid w:val="0087512A"/>
    <w:rsid w:val="00876778"/>
    <w:rsid w:val="00882C4B"/>
    <w:rsid w:val="008831B3"/>
    <w:rsid w:val="0088382C"/>
    <w:rsid w:val="008838B5"/>
    <w:rsid w:val="008838C2"/>
    <w:rsid w:val="0088395E"/>
    <w:rsid w:val="00883C01"/>
    <w:rsid w:val="00885262"/>
    <w:rsid w:val="008852C3"/>
    <w:rsid w:val="008854D0"/>
    <w:rsid w:val="0088619D"/>
    <w:rsid w:val="0088723D"/>
    <w:rsid w:val="0088739C"/>
    <w:rsid w:val="00887815"/>
    <w:rsid w:val="008906AB"/>
    <w:rsid w:val="008907B9"/>
    <w:rsid w:val="0089288C"/>
    <w:rsid w:val="00892A1B"/>
    <w:rsid w:val="00894635"/>
    <w:rsid w:val="00895EB7"/>
    <w:rsid w:val="0089613A"/>
    <w:rsid w:val="00896AF6"/>
    <w:rsid w:val="00896D5C"/>
    <w:rsid w:val="00897E7E"/>
    <w:rsid w:val="008A07B4"/>
    <w:rsid w:val="008A1848"/>
    <w:rsid w:val="008A2BA4"/>
    <w:rsid w:val="008A32D4"/>
    <w:rsid w:val="008A493C"/>
    <w:rsid w:val="008A49D6"/>
    <w:rsid w:val="008A6406"/>
    <w:rsid w:val="008A6FFC"/>
    <w:rsid w:val="008A7E49"/>
    <w:rsid w:val="008B03BA"/>
    <w:rsid w:val="008B2583"/>
    <w:rsid w:val="008B2FE9"/>
    <w:rsid w:val="008B3B24"/>
    <w:rsid w:val="008B4E0A"/>
    <w:rsid w:val="008B6BBF"/>
    <w:rsid w:val="008B6EE1"/>
    <w:rsid w:val="008B6EEB"/>
    <w:rsid w:val="008B7953"/>
    <w:rsid w:val="008B7AE6"/>
    <w:rsid w:val="008B7DD8"/>
    <w:rsid w:val="008C0262"/>
    <w:rsid w:val="008C166E"/>
    <w:rsid w:val="008C1761"/>
    <w:rsid w:val="008C20FE"/>
    <w:rsid w:val="008C2B66"/>
    <w:rsid w:val="008C2BE8"/>
    <w:rsid w:val="008C2CC9"/>
    <w:rsid w:val="008C2EEA"/>
    <w:rsid w:val="008C3F65"/>
    <w:rsid w:val="008C4268"/>
    <w:rsid w:val="008C5993"/>
    <w:rsid w:val="008C646A"/>
    <w:rsid w:val="008C64F7"/>
    <w:rsid w:val="008C6F9B"/>
    <w:rsid w:val="008D0FA6"/>
    <w:rsid w:val="008D10AD"/>
    <w:rsid w:val="008D1198"/>
    <w:rsid w:val="008D1E64"/>
    <w:rsid w:val="008D3844"/>
    <w:rsid w:val="008D4E96"/>
    <w:rsid w:val="008D5835"/>
    <w:rsid w:val="008D58BB"/>
    <w:rsid w:val="008D5BC3"/>
    <w:rsid w:val="008D5D73"/>
    <w:rsid w:val="008D668C"/>
    <w:rsid w:val="008D6DDF"/>
    <w:rsid w:val="008D6FB7"/>
    <w:rsid w:val="008D749A"/>
    <w:rsid w:val="008D7CA8"/>
    <w:rsid w:val="008E00A0"/>
    <w:rsid w:val="008E066C"/>
    <w:rsid w:val="008E0B01"/>
    <w:rsid w:val="008E1117"/>
    <w:rsid w:val="008E1140"/>
    <w:rsid w:val="008E33D1"/>
    <w:rsid w:val="008E4189"/>
    <w:rsid w:val="008E4A61"/>
    <w:rsid w:val="008E575F"/>
    <w:rsid w:val="008E5F43"/>
    <w:rsid w:val="008E64E1"/>
    <w:rsid w:val="008E685C"/>
    <w:rsid w:val="008F09B6"/>
    <w:rsid w:val="008F221A"/>
    <w:rsid w:val="008F23AE"/>
    <w:rsid w:val="008F2E34"/>
    <w:rsid w:val="008F3183"/>
    <w:rsid w:val="008F32B0"/>
    <w:rsid w:val="008F4916"/>
    <w:rsid w:val="008F4E9E"/>
    <w:rsid w:val="008F53B0"/>
    <w:rsid w:val="008F76E6"/>
    <w:rsid w:val="008F7CF4"/>
    <w:rsid w:val="008F7FAE"/>
    <w:rsid w:val="0090060F"/>
    <w:rsid w:val="00900F47"/>
    <w:rsid w:val="0090154C"/>
    <w:rsid w:val="00901568"/>
    <w:rsid w:val="0090158E"/>
    <w:rsid w:val="00902077"/>
    <w:rsid w:val="009028CF"/>
    <w:rsid w:val="00903452"/>
    <w:rsid w:val="00903B55"/>
    <w:rsid w:val="00904A12"/>
    <w:rsid w:val="00904E11"/>
    <w:rsid w:val="009066F7"/>
    <w:rsid w:val="0090686B"/>
    <w:rsid w:val="009068CB"/>
    <w:rsid w:val="00906D9C"/>
    <w:rsid w:val="00907845"/>
    <w:rsid w:val="00911F31"/>
    <w:rsid w:val="0091277D"/>
    <w:rsid w:val="0091285F"/>
    <w:rsid w:val="00913387"/>
    <w:rsid w:val="0091389D"/>
    <w:rsid w:val="00914442"/>
    <w:rsid w:val="0091498C"/>
    <w:rsid w:val="00914E87"/>
    <w:rsid w:val="0091531B"/>
    <w:rsid w:val="0091618E"/>
    <w:rsid w:val="009162BA"/>
    <w:rsid w:val="0091695A"/>
    <w:rsid w:val="00916B79"/>
    <w:rsid w:val="0091769C"/>
    <w:rsid w:val="00917742"/>
    <w:rsid w:val="00917896"/>
    <w:rsid w:val="009202C3"/>
    <w:rsid w:val="00920318"/>
    <w:rsid w:val="009203DC"/>
    <w:rsid w:val="009203F0"/>
    <w:rsid w:val="00920957"/>
    <w:rsid w:val="0092116A"/>
    <w:rsid w:val="009219BF"/>
    <w:rsid w:val="00921BB7"/>
    <w:rsid w:val="00921E5D"/>
    <w:rsid w:val="0092251D"/>
    <w:rsid w:val="00922F49"/>
    <w:rsid w:val="00922FE7"/>
    <w:rsid w:val="00923A7C"/>
    <w:rsid w:val="00923FA0"/>
    <w:rsid w:val="00924A81"/>
    <w:rsid w:val="00924C5C"/>
    <w:rsid w:val="00925FE3"/>
    <w:rsid w:val="00926E71"/>
    <w:rsid w:val="00930185"/>
    <w:rsid w:val="009305BB"/>
    <w:rsid w:val="00930C01"/>
    <w:rsid w:val="00931B01"/>
    <w:rsid w:val="00931B4E"/>
    <w:rsid w:val="0093375A"/>
    <w:rsid w:val="00933B33"/>
    <w:rsid w:val="00933C1B"/>
    <w:rsid w:val="00933D1B"/>
    <w:rsid w:val="00934235"/>
    <w:rsid w:val="00934B6F"/>
    <w:rsid w:val="00934E77"/>
    <w:rsid w:val="00935024"/>
    <w:rsid w:val="00935B74"/>
    <w:rsid w:val="00935E3E"/>
    <w:rsid w:val="00936232"/>
    <w:rsid w:val="009365CE"/>
    <w:rsid w:val="00937881"/>
    <w:rsid w:val="00937C27"/>
    <w:rsid w:val="0094057C"/>
    <w:rsid w:val="00940A87"/>
    <w:rsid w:val="00940EA2"/>
    <w:rsid w:val="00941AA6"/>
    <w:rsid w:val="00942775"/>
    <w:rsid w:val="00942C98"/>
    <w:rsid w:val="00943AC2"/>
    <w:rsid w:val="00944207"/>
    <w:rsid w:val="00944900"/>
    <w:rsid w:val="009453A4"/>
    <w:rsid w:val="00946DD7"/>
    <w:rsid w:val="00947136"/>
    <w:rsid w:val="00947D14"/>
    <w:rsid w:val="009503B3"/>
    <w:rsid w:val="00950F86"/>
    <w:rsid w:val="00952EDB"/>
    <w:rsid w:val="009534DB"/>
    <w:rsid w:val="009562E5"/>
    <w:rsid w:val="00956D60"/>
    <w:rsid w:val="00957BF7"/>
    <w:rsid w:val="00957D92"/>
    <w:rsid w:val="00957D9E"/>
    <w:rsid w:val="00960923"/>
    <w:rsid w:val="00960A4C"/>
    <w:rsid w:val="009611E0"/>
    <w:rsid w:val="00961C93"/>
    <w:rsid w:val="0096239C"/>
    <w:rsid w:val="00962C20"/>
    <w:rsid w:val="00963A14"/>
    <w:rsid w:val="009655CC"/>
    <w:rsid w:val="00965B8B"/>
    <w:rsid w:val="00965FAF"/>
    <w:rsid w:val="009662A9"/>
    <w:rsid w:val="00966B5C"/>
    <w:rsid w:val="00967688"/>
    <w:rsid w:val="009703DE"/>
    <w:rsid w:val="0097144D"/>
    <w:rsid w:val="00971C1E"/>
    <w:rsid w:val="00972588"/>
    <w:rsid w:val="00973475"/>
    <w:rsid w:val="009739C1"/>
    <w:rsid w:val="00974F46"/>
    <w:rsid w:val="009764EA"/>
    <w:rsid w:val="00977597"/>
    <w:rsid w:val="00980614"/>
    <w:rsid w:val="0098077C"/>
    <w:rsid w:val="009809B5"/>
    <w:rsid w:val="00981708"/>
    <w:rsid w:val="0098186A"/>
    <w:rsid w:val="00981E08"/>
    <w:rsid w:val="0098209C"/>
    <w:rsid w:val="0098252D"/>
    <w:rsid w:val="00982D13"/>
    <w:rsid w:val="009835ED"/>
    <w:rsid w:val="009836B9"/>
    <w:rsid w:val="0098491A"/>
    <w:rsid w:val="00984946"/>
    <w:rsid w:val="00984A8F"/>
    <w:rsid w:val="00984BC2"/>
    <w:rsid w:val="00984D06"/>
    <w:rsid w:val="00984EDE"/>
    <w:rsid w:val="00985A82"/>
    <w:rsid w:val="00985C36"/>
    <w:rsid w:val="00986C1E"/>
    <w:rsid w:val="00987522"/>
    <w:rsid w:val="00990945"/>
    <w:rsid w:val="00991563"/>
    <w:rsid w:val="0099174B"/>
    <w:rsid w:val="00991883"/>
    <w:rsid w:val="00991A2B"/>
    <w:rsid w:val="00992151"/>
    <w:rsid w:val="0099247A"/>
    <w:rsid w:val="009929BD"/>
    <w:rsid w:val="00993FE2"/>
    <w:rsid w:val="00994304"/>
    <w:rsid w:val="0099455A"/>
    <w:rsid w:val="00994AC6"/>
    <w:rsid w:val="00994E31"/>
    <w:rsid w:val="00994F8B"/>
    <w:rsid w:val="009A03EC"/>
    <w:rsid w:val="009A0802"/>
    <w:rsid w:val="009A21DF"/>
    <w:rsid w:val="009A25C7"/>
    <w:rsid w:val="009A2627"/>
    <w:rsid w:val="009A2637"/>
    <w:rsid w:val="009A2A8F"/>
    <w:rsid w:val="009A2CC6"/>
    <w:rsid w:val="009A3CC8"/>
    <w:rsid w:val="009A4830"/>
    <w:rsid w:val="009A539F"/>
    <w:rsid w:val="009A6AA3"/>
    <w:rsid w:val="009A78BA"/>
    <w:rsid w:val="009B1415"/>
    <w:rsid w:val="009B2443"/>
    <w:rsid w:val="009B29A3"/>
    <w:rsid w:val="009B3496"/>
    <w:rsid w:val="009B3EB9"/>
    <w:rsid w:val="009B40F1"/>
    <w:rsid w:val="009B46A2"/>
    <w:rsid w:val="009B6DE5"/>
    <w:rsid w:val="009B6F4F"/>
    <w:rsid w:val="009B713F"/>
    <w:rsid w:val="009B7982"/>
    <w:rsid w:val="009B7BC9"/>
    <w:rsid w:val="009C14D5"/>
    <w:rsid w:val="009C248B"/>
    <w:rsid w:val="009C327B"/>
    <w:rsid w:val="009C3E35"/>
    <w:rsid w:val="009C435C"/>
    <w:rsid w:val="009C4365"/>
    <w:rsid w:val="009C4E8D"/>
    <w:rsid w:val="009C5143"/>
    <w:rsid w:val="009C585E"/>
    <w:rsid w:val="009C5B22"/>
    <w:rsid w:val="009C79B4"/>
    <w:rsid w:val="009C7BE6"/>
    <w:rsid w:val="009D0D62"/>
    <w:rsid w:val="009D0DB4"/>
    <w:rsid w:val="009D0F1E"/>
    <w:rsid w:val="009D1F41"/>
    <w:rsid w:val="009D2A04"/>
    <w:rsid w:val="009D2C12"/>
    <w:rsid w:val="009D573A"/>
    <w:rsid w:val="009D5CF9"/>
    <w:rsid w:val="009D6C3A"/>
    <w:rsid w:val="009D74A3"/>
    <w:rsid w:val="009D757D"/>
    <w:rsid w:val="009D792F"/>
    <w:rsid w:val="009D7E6B"/>
    <w:rsid w:val="009E0D69"/>
    <w:rsid w:val="009E1A63"/>
    <w:rsid w:val="009E24F8"/>
    <w:rsid w:val="009E3F10"/>
    <w:rsid w:val="009E41C9"/>
    <w:rsid w:val="009E486A"/>
    <w:rsid w:val="009E4F00"/>
    <w:rsid w:val="009E5B6E"/>
    <w:rsid w:val="009E72E4"/>
    <w:rsid w:val="009F0692"/>
    <w:rsid w:val="009F0B61"/>
    <w:rsid w:val="009F0C4F"/>
    <w:rsid w:val="009F1358"/>
    <w:rsid w:val="009F3636"/>
    <w:rsid w:val="009F3C5E"/>
    <w:rsid w:val="009F43FD"/>
    <w:rsid w:val="009F4649"/>
    <w:rsid w:val="009F6395"/>
    <w:rsid w:val="009F6A0A"/>
    <w:rsid w:val="009F7B99"/>
    <w:rsid w:val="00A01BC9"/>
    <w:rsid w:val="00A020AA"/>
    <w:rsid w:val="00A0218E"/>
    <w:rsid w:val="00A02A64"/>
    <w:rsid w:val="00A02A7B"/>
    <w:rsid w:val="00A03E0C"/>
    <w:rsid w:val="00A05BAA"/>
    <w:rsid w:val="00A07420"/>
    <w:rsid w:val="00A07CAE"/>
    <w:rsid w:val="00A10112"/>
    <w:rsid w:val="00A12BE3"/>
    <w:rsid w:val="00A12DD5"/>
    <w:rsid w:val="00A142E7"/>
    <w:rsid w:val="00A144FB"/>
    <w:rsid w:val="00A1453A"/>
    <w:rsid w:val="00A14DF4"/>
    <w:rsid w:val="00A15955"/>
    <w:rsid w:val="00A15F39"/>
    <w:rsid w:val="00A166A0"/>
    <w:rsid w:val="00A16B46"/>
    <w:rsid w:val="00A16EB2"/>
    <w:rsid w:val="00A17145"/>
    <w:rsid w:val="00A20EEA"/>
    <w:rsid w:val="00A212C9"/>
    <w:rsid w:val="00A23040"/>
    <w:rsid w:val="00A25780"/>
    <w:rsid w:val="00A2593A"/>
    <w:rsid w:val="00A25B5C"/>
    <w:rsid w:val="00A26584"/>
    <w:rsid w:val="00A303FC"/>
    <w:rsid w:val="00A30CE7"/>
    <w:rsid w:val="00A32773"/>
    <w:rsid w:val="00A33017"/>
    <w:rsid w:val="00A3353E"/>
    <w:rsid w:val="00A33617"/>
    <w:rsid w:val="00A34520"/>
    <w:rsid w:val="00A35313"/>
    <w:rsid w:val="00A35B67"/>
    <w:rsid w:val="00A36920"/>
    <w:rsid w:val="00A37A1F"/>
    <w:rsid w:val="00A40077"/>
    <w:rsid w:val="00A404B4"/>
    <w:rsid w:val="00A41503"/>
    <w:rsid w:val="00A41680"/>
    <w:rsid w:val="00A42706"/>
    <w:rsid w:val="00A44C11"/>
    <w:rsid w:val="00A44F4F"/>
    <w:rsid w:val="00A4534B"/>
    <w:rsid w:val="00A454F1"/>
    <w:rsid w:val="00A455DD"/>
    <w:rsid w:val="00A469E4"/>
    <w:rsid w:val="00A46EC3"/>
    <w:rsid w:val="00A47E61"/>
    <w:rsid w:val="00A5069D"/>
    <w:rsid w:val="00A50D6E"/>
    <w:rsid w:val="00A51BCC"/>
    <w:rsid w:val="00A53758"/>
    <w:rsid w:val="00A53942"/>
    <w:rsid w:val="00A53ECD"/>
    <w:rsid w:val="00A54169"/>
    <w:rsid w:val="00A5490D"/>
    <w:rsid w:val="00A551DB"/>
    <w:rsid w:val="00A55201"/>
    <w:rsid w:val="00A55DE5"/>
    <w:rsid w:val="00A56860"/>
    <w:rsid w:val="00A56953"/>
    <w:rsid w:val="00A56F4C"/>
    <w:rsid w:val="00A572E0"/>
    <w:rsid w:val="00A5779A"/>
    <w:rsid w:val="00A57D3F"/>
    <w:rsid w:val="00A6007A"/>
    <w:rsid w:val="00A60977"/>
    <w:rsid w:val="00A613B0"/>
    <w:rsid w:val="00A62394"/>
    <w:rsid w:val="00A6284E"/>
    <w:rsid w:val="00A62B44"/>
    <w:rsid w:val="00A640C5"/>
    <w:rsid w:val="00A644DE"/>
    <w:rsid w:val="00A646E2"/>
    <w:rsid w:val="00A64FDE"/>
    <w:rsid w:val="00A6528A"/>
    <w:rsid w:val="00A656DD"/>
    <w:rsid w:val="00A65A04"/>
    <w:rsid w:val="00A6644C"/>
    <w:rsid w:val="00A664B6"/>
    <w:rsid w:val="00A668E6"/>
    <w:rsid w:val="00A70278"/>
    <w:rsid w:val="00A7170E"/>
    <w:rsid w:val="00A7186B"/>
    <w:rsid w:val="00A7194A"/>
    <w:rsid w:val="00A71B8F"/>
    <w:rsid w:val="00A721FF"/>
    <w:rsid w:val="00A724EC"/>
    <w:rsid w:val="00A732FC"/>
    <w:rsid w:val="00A736F5"/>
    <w:rsid w:val="00A75BCD"/>
    <w:rsid w:val="00A764BA"/>
    <w:rsid w:val="00A76FE6"/>
    <w:rsid w:val="00A772FA"/>
    <w:rsid w:val="00A776AB"/>
    <w:rsid w:val="00A77FEF"/>
    <w:rsid w:val="00A814D2"/>
    <w:rsid w:val="00A82A55"/>
    <w:rsid w:val="00A82B04"/>
    <w:rsid w:val="00A83113"/>
    <w:rsid w:val="00A857D7"/>
    <w:rsid w:val="00A860CB"/>
    <w:rsid w:val="00A87759"/>
    <w:rsid w:val="00A904B9"/>
    <w:rsid w:val="00A924D2"/>
    <w:rsid w:val="00A92EA3"/>
    <w:rsid w:val="00A936AC"/>
    <w:rsid w:val="00A93B0A"/>
    <w:rsid w:val="00A93EE1"/>
    <w:rsid w:val="00A94B1B"/>
    <w:rsid w:val="00A953B3"/>
    <w:rsid w:val="00A953DE"/>
    <w:rsid w:val="00A95B16"/>
    <w:rsid w:val="00A95F2B"/>
    <w:rsid w:val="00A9692C"/>
    <w:rsid w:val="00A97D47"/>
    <w:rsid w:val="00AA01AD"/>
    <w:rsid w:val="00AA1B1C"/>
    <w:rsid w:val="00AA2DB0"/>
    <w:rsid w:val="00AA2F6D"/>
    <w:rsid w:val="00AA3F89"/>
    <w:rsid w:val="00AA4295"/>
    <w:rsid w:val="00AA4C61"/>
    <w:rsid w:val="00AA6434"/>
    <w:rsid w:val="00AA64F3"/>
    <w:rsid w:val="00AA6BF8"/>
    <w:rsid w:val="00AA6CF9"/>
    <w:rsid w:val="00AA7F0F"/>
    <w:rsid w:val="00AB0100"/>
    <w:rsid w:val="00AB02A5"/>
    <w:rsid w:val="00AB0697"/>
    <w:rsid w:val="00AB0BF8"/>
    <w:rsid w:val="00AB0E84"/>
    <w:rsid w:val="00AB1351"/>
    <w:rsid w:val="00AB17E4"/>
    <w:rsid w:val="00AB27D5"/>
    <w:rsid w:val="00AB3337"/>
    <w:rsid w:val="00AB47FA"/>
    <w:rsid w:val="00AB4A80"/>
    <w:rsid w:val="00AB507D"/>
    <w:rsid w:val="00AB563B"/>
    <w:rsid w:val="00AB58C3"/>
    <w:rsid w:val="00AB5CD5"/>
    <w:rsid w:val="00AB5F36"/>
    <w:rsid w:val="00AC0931"/>
    <w:rsid w:val="00AC0AAC"/>
    <w:rsid w:val="00AC10C3"/>
    <w:rsid w:val="00AC20DA"/>
    <w:rsid w:val="00AC25ED"/>
    <w:rsid w:val="00AC3113"/>
    <w:rsid w:val="00AC3E20"/>
    <w:rsid w:val="00AC476C"/>
    <w:rsid w:val="00AC4E4C"/>
    <w:rsid w:val="00AC5978"/>
    <w:rsid w:val="00AC6063"/>
    <w:rsid w:val="00AC61FE"/>
    <w:rsid w:val="00AC6213"/>
    <w:rsid w:val="00AC692D"/>
    <w:rsid w:val="00AC6EC1"/>
    <w:rsid w:val="00AC7389"/>
    <w:rsid w:val="00AC76D3"/>
    <w:rsid w:val="00AD1565"/>
    <w:rsid w:val="00AD1851"/>
    <w:rsid w:val="00AD19D3"/>
    <w:rsid w:val="00AD2E16"/>
    <w:rsid w:val="00AD5B21"/>
    <w:rsid w:val="00AE1667"/>
    <w:rsid w:val="00AE234D"/>
    <w:rsid w:val="00AE26C9"/>
    <w:rsid w:val="00AE3D69"/>
    <w:rsid w:val="00AE4A46"/>
    <w:rsid w:val="00AE51B3"/>
    <w:rsid w:val="00AE5E73"/>
    <w:rsid w:val="00AE5EBA"/>
    <w:rsid w:val="00AE665E"/>
    <w:rsid w:val="00AE6B5E"/>
    <w:rsid w:val="00AF0DDB"/>
    <w:rsid w:val="00AF0EC9"/>
    <w:rsid w:val="00AF13D3"/>
    <w:rsid w:val="00AF247B"/>
    <w:rsid w:val="00AF262B"/>
    <w:rsid w:val="00AF4BFC"/>
    <w:rsid w:val="00AF4E79"/>
    <w:rsid w:val="00AF514C"/>
    <w:rsid w:val="00AF6492"/>
    <w:rsid w:val="00AF70F0"/>
    <w:rsid w:val="00AF7DA5"/>
    <w:rsid w:val="00B0099D"/>
    <w:rsid w:val="00B014DE"/>
    <w:rsid w:val="00B02906"/>
    <w:rsid w:val="00B03145"/>
    <w:rsid w:val="00B04402"/>
    <w:rsid w:val="00B045FF"/>
    <w:rsid w:val="00B06926"/>
    <w:rsid w:val="00B069A1"/>
    <w:rsid w:val="00B073CC"/>
    <w:rsid w:val="00B10B11"/>
    <w:rsid w:val="00B12051"/>
    <w:rsid w:val="00B12613"/>
    <w:rsid w:val="00B132F4"/>
    <w:rsid w:val="00B142A4"/>
    <w:rsid w:val="00B15185"/>
    <w:rsid w:val="00B16F26"/>
    <w:rsid w:val="00B17473"/>
    <w:rsid w:val="00B175A6"/>
    <w:rsid w:val="00B17A24"/>
    <w:rsid w:val="00B20023"/>
    <w:rsid w:val="00B20BD5"/>
    <w:rsid w:val="00B20FA0"/>
    <w:rsid w:val="00B21BFD"/>
    <w:rsid w:val="00B22C73"/>
    <w:rsid w:val="00B22E4C"/>
    <w:rsid w:val="00B234DC"/>
    <w:rsid w:val="00B23783"/>
    <w:rsid w:val="00B24991"/>
    <w:rsid w:val="00B24E47"/>
    <w:rsid w:val="00B256FF"/>
    <w:rsid w:val="00B26A3B"/>
    <w:rsid w:val="00B27DE9"/>
    <w:rsid w:val="00B305E5"/>
    <w:rsid w:val="00B30810"/>
    <w:rsid w:val="00B30DD2"/>
    <w:rsid w:val="00B31035"/>
    <w:rsid w:val="00B315ED"/>
    <w:rsid w:val="00B31890"/>
    <w:rsid w:val="00B31E2E"/>
    <w:rsid w:val="00B328D0"/>
    <w:rsid w:val="00B330DC"/>
    <w:rsid w:val="00B368A8"/>
    <w:rsid w:val="00B36FD5"/>
    <w:rsid w:val="00B37420"/>
    <w:rsid w:val="00B415C7"/>
    <w:rsid w:val="00B41698"/>
    <w:rsid w:val="00B41DDD"/>
    <w:rsid w:val="00B42F9E"/>
    <w:rsid w:val="00B43BDD"/>
    <w:rsid w:val="00B440EF"/>
    <w:rsid w:val="00B4414F"/>
    <w:rsid w:val="00B4437A"/>
    <w:rsid w:val="00B446A7"/>
    <w:rsid w:val="00B44CBA"/>
    <w:rsid w:val="00B44CEF"/>
    <w:rsid w:val="00B45851"/>
    <w:rsid w:val="00B4679D"/>
    <w:rsid w:val="00B46A9C"/>
    <w:rsid w:val="00B47C76"/>
    <w:rsid w:val="00B5054D"/>
    <w:rsid w:val="00B50A8D"/>
    <w:rsid w:val="00B50F43"/>
    <w:rsid w:val="00B513ED"/>
    <w:rsid w:val="00B51F7D"/>
    <w:rsid w:val="00B53BD4"/>
    <w:rsid w:val="00B53D09"/>
    <w:rsid w:val="00B545E1"/>
    <w:rsid w:val="00B54B67"/>
    <w:rsid w:val="00B557C6"/>
    <w:rsid w:val="00B55DC9"/>
    <w:rsid w:val="00B6141F"/>
    <w:rsid w:val="00B61C3B"/>
    <w:rsid w:val="00B61DB3"/>
    <w:rsid w:val="00B62ABD"/>
    <w:rsid w:val="00B63137"/>
    <w:rsid w:val="00B63AAA"/>
    <w:rsid w:val="00B65BBD"/>
    <w:rsid w:val="00B65EFE"/>
    <w:rsid w:val="00B66C60"/>
    <w:rsid w:val="00B6788D"/>
    <w:rsid w:val="00B67A5B"/>
    <w:rsid w:val="00B67AD5"/>
    <w:rsid w:val="00B70155"/>
    <w:rsid w:val="00B70C41"/>
    <w:rsid w:val="00B7193C"/>
    <w:rsid w:val="00B72C5D"/>
    <w:rsid w:val="00B72F02"/>
    <w:rsid w:val="00B73FC2"/>
    <w:rsid w:val="00B75331"/>
    <w:rsid w:val="00B75553"/>
    <w:rsid w:val="00B76640"/>
    <w:rsid w:val="00B76954"/>
    <w:rsid w:val="00B76BE0"/>
    <w:rsid w:val="00B76D58"/>
    <w:rsid w:val="00B77EE8"/>
    <w:rsid w:val="00B80495"/>
    <w:rsid w:val="00B80E5A"/>
    <w:rsid w:val="00B81C5A"/>
    <w:rsid w:val="00B82A0D"/>
    <w:rsid w:val="00B82DEB"/>
    <w:rsid w:val="00B857F9"/>
    <w:rsid w:val="00B85AC0"/>
    <w:rsid w:val="00B85E20"/>
    <w:rsid w:val="00B86513"/>
    <w:rsid w:val="00B86636"/>
    <w:rsid w:val="00B90013"/>
    <w:rsid w:val="00B902AB"/>
    <w:rsid w:val="00B91695"/>
    <w:rsid w:val="00B91EF4"/>
    <w:rsid w:val="00B92752"/>
    <w:rsid w:val="00B930DE"/>
    <w:rsid w:val="00B9366D"/>
    <w:rsid w:val="00B947BE"/>
    <w:rsid w:val="00B94DCF"/>
    <w:rsid w:val="00B95A8D"/>
    <w:rsid w:val="00B97443"/>
    <w:rsid w:val="00B976B9"/>
    <w:rsid w:val="00BA03A9"/>
    <w:rsid w:val="00BA0DEE"/>
    <w:rsid w:val="00BA13D3"/>
    <w:rsid w:val="00BA2097"/>
    <w:rsid w:val="00BA240C"/>
    <w:rsid w:val="00BA2646"/>
    <w:rsid w:val="00BA2922"/>
    <w:rsid w:val="00BA2BA7"/>
    <w:rsid w:val="00BA46EB"/>
    <w:rsid w:val="00BA4D49"/>
    <w:rsid w:val="00BA5281"/>
    <w:rsid w:val="00BA638F"/>
    <w:rsid w:val="00BA6A1B"/>
    <w:rsid w:val="00BA6D43"/>
    <w:rsid w:val="00BB0EDF"/>
    <w:rsid w:val="00BB1031"/>
    <w:rsid w:val="00BB107F"/>
    <w:rsid w:val="00BB22C2"/>
    <w:rsid w:val="00BB3423"/>
    <w:rsid w:val="00BB4742"/>
    <w:rsid w:val="00BB502F"/>
    <w:rsid w:val="00BB6BA7"/>
    <w:rsid w:val="00BB6CFB"/>
    <w:rsid w:val="00BB7C23"/>
    <w:rsid w:val="00BB7EEE"/>
    <w:rsid w:val="00BC00CF"/>
    <w:rsid w:val="00BC2022"/>
    <w:rsid w:val="00BC2127"/>
    <w:rsid w:val="00BC24D4"/>
    <w:rsid w:val="00BC2694"/>
    <w:rsid w:val="00BC43D1"/>
    <w:rsid w:val="00BC4E48"/>
    <w:rsid w:val="00BC6A8E"/>
    <w:rsid w:val="00BC7A9E"/>
    <w:rsid w:val="00BD07CA"/>
    <w:rsid w:val="00BD13A4"/>
    <w:rsid w:val="00BD1F59"/>
    <w:rsid w:val="00BD4A4C"/>
    <w:rsid w:val="00BD4D96"/>
    <w:rsid w:val="00BD514C"/>
    <w:rsid w:val="00BD7D12"/>
    <w:rsid w:val="00BE0DD0"/>
    <w:rsid w:val="00BE3C14"/>
    <w:rsid w:val="00BE4987"/>
    <w:rsid w:val="00BE4AF6"/>
    <w:rsid w:val="00BE4F38"/>
    <w:rsid w:val="00BE510C"/>
    <w:rsid w:val="00BE55B7"/>
    <w:rsid w:val="00BE5BE5"/>
    <w:rsid w:val="00BE6959"/>
    <w:rsid w:val="00BE6E45"/>
    <w:rsid w:val="00BE73D1"/>
    <w:rsid w:val="00BF0377"/>
    <w:rsid w:val="00BF0424"/>
    <w:rsid w:val="00BF082E"/>
    <w:rsid w:val="00BF3724"/>
    <w:rsid w:val="00BF4535"/>
    <w:rsid w:val="00BF48B4"/>
    <w:rsid w:val="00BF4953"/>
    <w:rsid w:val="00BF50B7"/>
    <w:rsid w:val="00BF6207"/>
    <w:rsid w:val="00BF665A"/>
    <w:rsid w:val="00BF7B2D"/>
    <w:rsid w:val="00BF7F6E"/>
    <w:rsid w:val="00C0043A"/>
    <w:rsid w:val="00C00B37"/>
    <w:rsid w:val="00C01616"/>
    <w:rsid w:val="00C02058"/>
    <w:rsid w:val="00C02EED"/>
    <w:rsid w:val="00C03340"/>
    <w:rsid w:val="00C04240"/>
    <w:rsid w:val="00C045A9"/>
    <w:rsid w:val="00C046BA"/>
    <w:rsid w:val="00C05D98"/>
    <w:rsid w:val="00C062FD"/>
    <w:rsid w:val="00C0652E"/>
    <w:rsid w:val="00C07702"/>
    <w:rsid w:val="00C07C51"/>
    <w:rsid w:val="00C10A99"/>
    <w:rsid w:val="00C10E3E"/>
    <w:rsid w:val="00C111DC"/>
    <w:rsid w:val="00C1197A"/>
    <w:rsid w:val="00C134BD"/>
    <w:rsid w:val="00C14013"/>
    <w:rsid w:val="00C140BD"/>
    <w:rsid w:val="00C1531F"/>
    <w:rsid w:val="00C165AF"/>
    <w:rsid w:val="00C167B7"/>
    <w:rsid w:val="00C16CBC"/>
    <w:rsid w:val="00C1796C"/>
    <w:rsid w:val="00C17CF0"/>
    <w:rsid w:val="00C2030D"/>
    <w:rsid w:val="00C20884"/>
    <w:rsid w:val="00C2109A"/>
    <w:rsid w:val="00C22B0C"/>
    <w:rsid w:val="00C24075"/>
    <w:rsid w:val="00C244B7"/>
    <w:rsid w:val="00C2485E"/>
    <w:rsid w:val="00C251DB"/>
    <w:rsid w:val="00C251E0"/>
    <w:rsid w:val="00C257B3"/>
    <w:rsid w:val="00C25D67"/>
    <w:rsid w:val="00C27A02"/>
    <w:rsid w:val="00C30550"/>
    <w:rsid w:val="00C306D1"/>
    <w:rsid w:val="00C31AEB"/>
    <w:rsid w:val="00C31B38"/>
    <w:rsid w:val="00C31ED4"/>
    <w:rsid w:val="00C320C8"/>
    <w:rsid w:val="00C32250"/>
    <w:rsid w:val="00C342CD"/>
    <w:rsid w:val="00C34558"/>
    <w:rsid w:val="00C34B7A"/>
    <w:rsid w:val="00C34CC4"/>
    <w:rsid w:val="00C36276"/>
    <w:rsid w:val="00C36923"/>
    <w:rsid w:val="00C40116"/>
    <w:rsid w:val="00C4181C"/>
    <w:rsid w:val="00C42A4C"/>
    <w:rsid w:val="00C42E39"/>
    <w:rsid w:val="00C43FD6"/>
    <w:rsid w:val="00C43FDC"/>
    <w:rsid w:val="00C44208"/>
    <w:rsid w:val="00C4572F"/>
    <w:rsid w:val="00C45B37"/>
    <w:rsid w:val="00C4650A"/>
    <w:rsid w:val="00C50006"/>
    <w:rsid w:val="00C50151"/>
    <w:rsid w:val="00C519F2"/>
    <w:rsid w:val="00C526FA"/>
    <w:rsid w:val="00C52828"/>
    <w:rsid w:val="00C52C48"/>
    <w:rsid w:val="00C52F9D"/>
    <w:rsid w:val="00C53628"/>
    <w:rsid w:val="00C53ABF"/>
    <w:rsid w:val="00C53E6B"/>
    <w:rsid w:val="00C53E7C"/>
    <w:rsid w:val="00C54023"/>
    <w:rsid w:val="00C547A1"/>
    <w:rsid w:val="00C5579A"/>
    <w:rsid w:val="00C55A3D"/>
    <w:rsid w:val="00C55DEF"/>
    <w:rsid w:val="00C55E90"/>
    <w:rsid w:val="00C561DD"/>
    <w:rsid w:val="00C563D9"/>
    <w:rsid w:val="00C57B21"/>
    <w:rsid w:val="00C603F8"/>
    <w:rsid w:val="00C6089B"/>
    <w:rsid w:val="00C612DC"/>
    <w:rsid w:val="00C62FAD"/>
    <w:rsid w:val="00C631D2"/>
    <w:rsid w:val="00C63298"/>
    <w:rsid w:val="00C639AE"/>
    <w:rsid w:val="00C643FF"/>
    <w:rsid w:val="00C64D23"/>
    <w:rsid w:val="00C64FA0"/>
    <w:rsid w:val="00C6588E"/>
    <w:rsid w:val="00C659E8"/>
    <w:rsid w:val="00C65D9A"/>
    <w:rsid w:val="00C66556"/>
    <w:rsid w:val="00C66788"/>
    <w:rsid w:val="00C67144"/>
    <w:rsid w:val="00C70197"/>
    <w:rsid w:val="00C7329C"/>
    <w:rsid w:val="00C73320"/>
    <w:rsid w:val="00C73A9C"/>
    <w:rsid w:val="00C73B6E"/>
    <w:rsid w:val="00C73F0C"/>
    <w:rsid w:val="00C74EB5"/>
    <w:rsid w:val="00C75946"/>
    <w:rsid w:val="00C7615F"/>
    <w:rsid w:val="00C76AC8"/>
    <w:rsid w:val="00C76B58"/>
    <w:rsid w:val="00C76F0B"/>
    <w:rsid w:val="00C7749E"/>
    <w:rsid w:val="00C77933"/>
    <w:rsid w:val="00C810B3"/>
    <w:rsid w:val="00C811B5"/>
    <w:rsid w:val="00C81433"/>
    <w:rsid w:val="00C826E9"/>
    <w:rsid w:val="00C82723"/>
    <w:rsid w:val="00C82CCC"/>
    <w:rsid w:val="00C8536E"/>
    <w:rsid w:val="00C85C9B"/>
    <w:rsid w:val="00C86188"/>
    <w:rsid w:val="00C87CB0"/>
    <w:rsid w:val="00C90A87"/>
    <w:rsid w:val="00C91E0F"/>
    <w:rsid w:val="00C91F75"/>
    <w:rsid w:val="00C9215E"/>
    <w:rsid w:val="00C92DC0"/>
    <w:rsid w:val="00C92F0C"/>
    <w:rsid w:val="00C934EB"/>
    <w:rsid w:val="00C93707"/>
    <w:rsid w:val="00C93A6D"/>
    <w:rsid w:val="00C94B8B"/>
    <w:rsid w:val="00C94BFC"/>
    <w:rsid w:val="00C9561D"/>
    <w:rsid w:val="00C95890"/>
    <w:rsid w:val="00C9786C"/>
    <w:rsid w:val="00C97EF8"/>
    <w:rsid w:val="00CA10CF"/>
    <w:rsid w:val="00CA1160"/>
    <w:rsid w:val="00CA1399"/>
    <w:rsid w:val="00CA183C"/>
    <w:rsid w:val="00CA2D31"/>
    <w:rsid w:val="00CA300A"/>
    <w:rsid w:val="00CA37AE"/>
    <w:rsid w:val="00CA3C82"/>
    <w:rsid w:val="00CA4397"/>
    <w:rsid w:val="00CA4623"/>
    <w:rsid w:val="00CA4632"/>
    <w:rsid w:val="00CA47DC"/>
    <w:rsid w:val="00CA669C"/>
    <w:rsid w:val="00CA66B2"/>
    <w:rsid w:val="00CB03AF"/>
    <w:rsid w:val="00CB0A8B"/>
    <w:rsid w:val="00CB141B"/>
    <w:rsid w:val="00CB1BFB"/>
    <w:rsid w:val="00CB2145"/>
    <w:rsid w:val="00CB3720"/>
    <w:rsid w:val="00CB4338"/>
    <w:rsid w:val="00CB452E"/>
    <w:rsid w:val="00CB4BD6"/>
    <w:rsid w:val="00CB4E58"/>
    <w:rsid w:val="00CB542A"/>
    <w:rsid w:val="00CB5B54"/>
    <w:rsid w:val="00CB6D92"/>
    <w:rsid w:val="00CC02A1"/>
    <w:rsid w:val="00CC08C6"/>
    <w:rsid w:val="00CC1AFB"/>
    <w:rsid w:val="00CC31ED"/>
    <w:rsid w:val="00CC3D2F"/>
    <w:rsid w:val="00CC412A"/>
    <w:rsid w:val="00CC42C0"/>
    <w:rsid w:val="00CC4545"/>
    <w:rsid w:val="00CC4A39"/>
    <w:rsid w:val="00CC5055"/>
    <w:rsid w:val="00CC5062"/>
    <w:rsid w:val="00CC5B32"/>
    <w:rsid w:val="00CC62D0"/>
    <w:rsid w:val="00CC6D10"/>
    <w:rsid w:val="00CC6D56"/>
    <w:rsid w:val="00CC6DA5"/>
    <w:rsid w:val="00CC6DCD"/>
    <w:rsid w:val="00CC79AC"/>
    <w:rsid w:val="00CD23A0"/>
    <w:rsid w:val="00CD2E8A"/>
    <w:rsid w:val="00CD3F2E"/>
    <w:rsid w:val="00CD546B"/>
    <w:rsid w:val="00CD54B4"/>
    <w:rsid w:val="00CD5B21"/>
    <w:rsid w:val="00CE075F"/>
    <w:rsid w:val="00CE1903"/>
    <w:rsid w:val="00CE23CE"/>
    <w:rsid w:val="00CE2EF4"/>
    <w:rsid w:val="00CE51F5"/>
    <w:rsid w:val="00CE5358"/>
    <w:rsid w:val="00CE54D5"/>
    <w:rsid w:val="00CE564B"/>
    <w:rsid w:val="00CE60AC"/>
    <w:rsid w:val="00CE6143"/>
    <w:rsid w:val="00CE66A7"/>
    <w:rsid w:val="00CE6E52"/>
    <w:rsid w:val="00CE6F19"/>
    <w:rsid w:val="00CE6F50"/>
    <w:rsid w:val="00CE7179"/>
    <w:rsid w:val="00CE75BD"/>
    <w:rsid w:val="00CE75F7"/>
    <w:rsid w:val="00CE79A3"/>
    <w:rsid w:val="00CF06D5"/>
    <w:rsid w:val="00CF0926"/>
    <w:rsid w:val="00CF0E69"/>
    <w:rsid w:val="00CF3FB5"/>
    <w:rsid w:val="00CF405D"/>
    <w:rsid w:val="00CF415B"/>
    <w:rsid w:val="00CF4643"/>
    <w:rsid w:val="00CF4819"/>
    <w:rsid w:val="00CF4DB7"/>
    <w:rsid w:val="00CF4FC0"/>
    <w:rsid w:val="00CF6D17"/>
    <w:rsid w:val="00CF70D8"/>
    <w:rsid w:val="00CF719A"/>
    <w:rsid w:val="00CF7E49"/>
    <w:rsid w:val="00D00437"/>
    <w:rsid w:val="00D008F2"/>
    <w:rsid w:val="00D0191A"/>
    <w:rsid w:val="00D02143"/>
    <w:rsid w:val="00D03166"/>
    <w:rsid w:val="00D0391F"/>
    <w:rsid w:val="00D04C3A"/>
    <w:rsid w:val="00D04FB5"/>
    <w:rsid w:val="00D05C8B"/>
    <w:rsid w:val="00D06918"/>
    <w:rsid w:val="00D06B69"/>
    <w:rsid w:val="00D07005"/>
    <w:rsid w:val="00D0774F"/>
    <w:rsid w:val="00D07F32"/>
    <w:rsid w:val="00D106C3"/>
    <w:rsid w:val="00D109FF"/>
    <w:rsid w:val="00D11983"/>
    <w:rsid w:val="00D11A99"/>
    <w:rsid w:val="00D122BD"/>
    <w:rsid w:val="00D123D0"/>
    <w:rsid w:val="00D12976"/>
    <w:rsid w:val="00D12BAA"/>
    <w:rsid w:val="00D139B6"/>
    <w:rsid w:val="00D13D0C"/>
    <w:rsid w:val="00D15334"/>
    <w:rsid w:val="00D1548C"/>
    <w:rsid w:val="00D15770"/>
    <w:rsid w:val="00D159D0"/>
    <w:rsid w:val="00D159D2"/>
    <w:rsid w:val="00D15D84"/>
    <w:rsid w:val="00D16DE3"/>
    <w:rsid w:val="00D174C6"/>
    <w:rsid w:val="00D17780"/>
    <w:rsid w:val="00D202EA"/>
    <w:rsid w:val="00D2093A"/>
    <w:rsid w:val="00D20B47"/>
    <w:rsid w:val="00D21044"/>
    <w:rsid w:val="00D21F0E"/>
    <w:rsid w:val="00D223AC"/>
    <w:rsid w:val="00D2306E"/>
    <w:rsid w:val="00D23E4D"/>
    <w:rsid w:val="00D24466"/>
    <w:rsid w:val="00D244BB"/>
    <w:rsid w:val="00D24C88"/>
    <w:rsid w:val="00D263DA"/>
    <w:rsid w:val="00D2698F"/>
    <w:rsid w:val="00D26A77"/>
    <w:rsid w:val="00D27AA9"/>
    <w:rsid w:val="00D27EA4"/>
    <w:rsid w:val="00D3001A"/>
    <w:rsid w:val="00D305C6"/>
    <w:rsid w:val="00D31A45"/>
    <w:rsid w:val="00D322D5"/>
    <w:rsid w:val="00D337A7"/>
    <w:rsid w:val="00D339E7"/>
    <w:rsid w:val="00D34A42"/>
    <w:rsid w:val="00D354AA"/>
    <w:rsid w:val="00D35DA5"/>
    <w:rsid w:val="00D36ACC"/>
    <w:rsid w:val="00D36D4A"/>
    <w:rsid w:val="00D37326"/>
    <w:rsid w:val="00D3773E"/>
    <w:rsid w:val="00D40219"/>
    <w:rsid w:val="00D40230"/>
    <w:rsid w:val="00D403B3"/>
    <w:rsid w:val="00D4048D"/>
    <w:rsid w:val="00D405F6"/>
    <w:rsid w:val="00D40D08"/>
    <w:rsid w:val="00D4188C"/>
    <w:rsid w:val="00D41AE3"/>
    <w:rsid w:val="00D4268C"/>
    <w:rsid w:val="00D435A6"/>
    <w:rsid w:val="00D43CDC"/>
    <w:rsid w:val="00D44323"/>
    <w:rsid w:val="00D44AD2"/>
    <w:rsid w:val="00D44C90"/>
    <w:rsid w:val="00D45809"/>
    <w:rsid w:val="00D45E53"/>
    <w:rsid w:val="00D4693F"/>
    <w:rsid w:val="00D46D59"/>
    <w:rsid w:val="00D47BB9"/>
    <w:rsid w:val="00D47DCD"/>
    <w:rsid w:val="00D50077"/>
    <w:rsid w:val="00D50A2F"/>
    <w:rsid w:val="00D50CC2"/>
    <w:rsid w:val="00D50E6C"/>
    <w:rsid w:val="00D50E94"/>
    <w:rsid w:val="00D51379"/>
    <w:rsid w:val="00D51444"/>
    <w:rsid w:val="00D51581"/>
    <w:rsid w:val="00D52724"/>
    <w:rsid w:val="00D53434"/>
    <w:rsid w:val="00D53CBD"/>
    <w:rsid w:val="00D544F7"/>
    <w:rsid w:val="00D54A54"/>
    <w:rsid w:val="00D54DB5"/>
    <w:rsid w:val="00D54E1C"/>
    <w:rsid w:val="00D5538C"/>
    <w:rsid w:val="00D5697C"/>
    <w:rsid w:val="00D56AA0"/>
    <w:rsid w:val="00D56B02"/>
    <w:rsid w:val="00D57673"/>
    <w:rsid w:val="00D578E6"/>
    <w:rsid w:val="00D60276"/>
    <w:rsid w:val="00D603C8"/>
    <w:rsid w:val="00D606B8"/>
    <w:rsid w:val="00D62F4A"/>
    <w:rsid w:val="00D6409E"/>
    <w:rsid w:val="00D644A0"/>
    <w:rsid w:val="00D64FC5"/>
    <w:rsid w:val="00D659D1"/>
    <w:rsid w:val="00D660F4"/>
    <w:rsid w:val="00D6770F"/>
    <w:rsid w:val="00D70187"/>
    <w:rsid w:val="00D7034C"/>
    <w:rsid w:val="00D70C1B"/>
    <w:rsid w:val="00D720DC"/>
    <w:rsid w:val="00D72EDB"/>
    <w:rsid w:val="00D741DF"/>
    <w:rsid w:val="00D75306"/>
    <w:rsid w:val="00D754CC"/>
    <w:rsid w:val="00D755B6"/>
    <w:rsid w:val="00D75907"/>
    <w:rsid w:val="00D768C9"/>
    <w:rsid w:val="00D76C42"/>
    <w:rsid w:val="00D77757"/>
    <w:rsid w:val="00D77859"/>
    <w:rsid w:val="00D8022E"/>
    <w:rsid w:val="00D80340"/>
    <w:rsid w:val="00D809D0"/>
    <w:rsid w:val="00D810CB"/>
    <w:rsid w:val="00D82246"/>
    <w:rsid w:val="00D826B1"/>
    <w:rsid w:val="00D82897"/>
    <w:rsid w:val="00D83878"/>
    <w:rsid w:val="00D83D32"/>
    <w:rsid w:val="00D847C7"/>
    <w:rsid w:val="00D85A00"/>
    <w:rsid w:val="00D85ADE"/>
    <w:rsid w:val="00D85C5E"/>
    <w:rsid w:val="00D85CBA"/>
    <w:rsid w:val="00D8692B"/>
    <w:rsid w:val="00D86C00"/>
    <w:rsid w:val="00D90160"/>
    <w:rsid w:val="00D90564"/>
    <w:rsid w:val="00D9063B"/>
    <w:rsid w:val="00D9126C"/>
    <w:rsid w:val="00D94BB1"/>
    <w:rsid w:val="00D950D8"/>
    <w:rsid w:val="00D958E2"/>
    <w:rsid w:val="00D95DE9"/>
    <w:rsid w:val="00D95E22"/>
    <w:rsid w:val="00D9610C"/>
    <w:rsid w:val="00D965E6"/>
    <w:rsid w:val="00D96671"/>
    <w:rsid w:val="00D96A0F"/>
    <w:rsid w:val="00D97DA8"/>
    <w:rsid w:val="00DA07C3"/>
    <w:rsid w:val="00DA1308"/>
    <w:rsid w:val="00DA2475"/>
    <w:rsid w:val="00DA2656"/>
    <w:rsid w:val="00DA296D"/>
    <w:rsid w:val="00DA2E6A"/>
    <w:rsid w:val="00DA42D4"/>
    <w:rsid w:val="00DA44CB"/>
    <w:rsid w:val="00DA4897"/>
    <w:rsid w:val="00DA53B9"/>
    <w:rsid w:val="00DB0C0D"/>
    <w:rsid w:val="00DB0F86"/>
    <w:rsid w:val="00DB0FC9"/>
    <w:rsid w:val="00DB2C6C"/>
    <w:rsid w:val="00DB3B89"/>
    <w:rsid w:val="00DB499B"/>
    <w:rsid w:val="00DB627D"/>
    <w:rsid w:val="00DB6B44"/>
    <w:rsid w:val="00DB6BA0"/>
    <w:rsid w:val="00DC0079"/>
    <w:rsid w:val="00DC0245"/>
    <w:rsid w:val="00DC198A"/>
    <w:rsid w:val="00DC1B9B"/>
    <w:rsid w:val="00DC257F"/>
    <w:rsid w:val="00DC2CCC"/>
    <w:rsid w:val="00DC3191"/>
    <w:rsid w:val="00DC3CD9"/>
    <w:rsid w:val="00DC42E7"/>
    <w:rsid w:val="00DC4385"/>
    <w:rsid w:val="00DC4E97"/>
    <w:rsid w:val="00DC5ED8"/>
    <w:rsid w:val="00DC6EE3"/>
    <w:rsid w:val="00DC7463"/>
    <w:rsid w:val="00DC7606"/>
    <w:rsid w:val="00DD0900"/>
    <w:rsid w:val="00DD1C16"/>
    <w:rsid w:val="00DD25B3"/>
    <w:rsid w:val="00DD33E7"/>
    <w:rsid w:val="00DD362E"/>
    <w:rsid w:val="00DD3999"/>
    <w:rsid w:val="00DD3DAB"/>
    <w:rsid w:val="00DD404F"/>
    <w:rsid w:val="00DD4237"/>
    <w:rsid w:val="00DD4D9A"/>
    <w:rsid w:val="00DD4D9C"/>
    <w:rsid w:val="00DD5895"/>
    <w:rsid w:val="00DD5D59"/>
    <w:rsid w:val="00DD60AD"/>
    <w:rsid w:val="00DD7430"/>
    <w:rsid w:val="00DE09D8"/>
    <w:rsid w:val="00DE2B20"/>
    <w:rsid w:val="00DE37F1"/>
    <w:rsid w:val="00DE3EAD"/>
    <w:rsid w:val="00DE4710"/>
    <w:rsid w:val="00DE5CD7"/>
    <w:rsid w:val="00DE5E22"/>
    <w:rsid w:val="00DE653F"/>
    <w:rsid w:val="00DE66D0"/>
    <w:rsid w:val="00DE6702"/>
    <w:rsid w:val="00DE7A41"/>
    <w:rsid w:val="00DE7E75"/>
    <w:rsid w:val="00DF15C9"/>
    <w:rsid w:val="00DF21F0"/>
    <w:rsid w:val="00DF237F"/>
    <w:rsid w:val="00DF2927"/>
    <w:rsid w:val="00DF296A"/>
    <w:rsid w:val="00DF306F"/>
    <w:rsid w:val="00DF3F92"/>
    <w:rsid w:val="00DF490E"/>
    <w:rsid w:val="00DF6308"/>
    <w:rsid w:val="00DF6873"/>
    <w:rsid w:val="00DF6FED"/>
    <w:rsid w:val="00DF7686"/>
    <w:rsid w:val="00DF7ADF"/>
    <w:rsid w:val="00E00628"/>
    <w:rsid w:val="00E01C4B"/>
    <w:rsid w:val="00E01D0A"/>
    <w:rsid w:val="00E021CA"/>
    <w:rsid w:val="00E052F8"/>
    <w:rsid w:val="00E061F9"/>
    <w:rsid w:val="00E11397"/>
    <w:rsid w:val="00E119C3"/>
    <w:rsid w:val="00E11AB5"/>
    <w:rsid w:val="00E12869"/>
    <w:rsid w:val="00E12E3F"/>
    <w:rsid w:val="00E13A6E"/>
    <w:rsid w:val="00E13CDD"/>
    <w:rsid w:val="00E13FD2"/>
    <w:rsid w:val="00E14AAF"/>
    <w:rsid w:val="00E14B02"/>
    <w:rsid w:val="00E14CA5"/>
    <w:rsid w:val="00E14FC2"/>
    <w:rsid w:val="00E15349"/>
    <w:rsid w:val="00E1555D"/>
    <w:rsid w:val="00E1670C"/>
    <w:rsid w:val="00E16D14"/>
    <w:rsid w:val="00E16E45"/>
    <w:rsid w:val="00E17119"/>
    <w:rsid w:val="00E171B7"/>
    <w:rsid w:val="00E202E1"/>
    <w:rsid w:val="00E2133C"/>
    <w:rsid w:val="00E21F6C"/>
    <w:rsid w:val="00E22079"/>
    <w:rsid w:val="00E2299A"/>
    <w:rsid w:val="00E22ABC"/>
    <w:rsid w:val="00E25B69"/>
    <w:rsid w:val="00E2698E"/>
    <w:rsid w:val="00E26F28"/>
    <w:rsid w:val="00E26FE2"/>
    <w:rsid w:val="00E2714B"/>
    <w:rsid w:val="00E27236"/>
    <w:rsid w:val="00E2723E"/>
    <w:rsid w:val="00E2736F"/>
    <w:rsid w:val="00E2794A"/>
    <w:rsid w:val="00E31A8A"/>
    <w:rsid w:val="00E31DD8"/>
    <w:rsid w:val="00E32811"/>
    <w:rsid w:val="00E32B82"/>
    <w:rsid w:val="00E3524A"/>
    <w:rsid w:val="00E357AA"/>
    <w:rsid w:val="00E359ED"/>
    <w:rsid w:val="00E36FF5"/>
    <w:rsid w:val="00E37014"/>
    <w:rsid w:val="00E37592"/>
    <w:rsid w:val="00E4105E"/>
    <w:rsid w:val="00E41F48"/>
    <w:rsid w:val="00E42721"/>
    <w:rsid w:val="00E429ED"/>
    <w:rsid w:val="00E43071"/>
    <w:rsid w:val="00E43BCA"/>
    <w:rsid w:val="00E44026"/>
    <w:rsid w:val="00E44ADE"/>
    <w:rsid w:val="00E44BF1"/>
    <w:rsid w:val="00E44C5E"/>
    <w:rsid w:val="00E45846"/>
    <w:rsid w:val="00E458BB"/>
    <w:rsid w:val="00E45BDF"/>
    <w:rsid w:val="00E47649"/>
    <w:rsid w:val="00E476EB"/>
    <w:rsid w:val="00E5081D"/>
    <w:rsid w:val="00E50D8D"/>
    <w:rsid w:val="00E517B6"/>
    <w:rsid w:val="00E51968"/>
    <w:rsid w:val="00E542FE"/>
    <w:rsid w:val="00E543EC"/>
    <w:rsid w:val="00E54A45"/>
    <w:rsid w:val="00E54B92"/>
    <w:rsid w:val="00E56653"/>
    <w:rsid w:val="00E57077"/>
    <w:rsid w:val="00E5797A"/>
    <w:rsid w:val="00E60264"/>
    <w:rsid w:val="00E603D2"/>
    <w:rsid w:val="00E60C74"/>
    <w:rsid w:val="00E60F8D"/>
    <w:rsid w:val="00E61847"/>
    <w:rsid w:val="00E61A19"/>
    <w:rsid w:val="00E63307"/>
    <w:rsid w:val="00E6336F"/>
    <w:rsid w:val="00E6378E"/>
    <w:rsid w:val="00E6402A"/>
    <w:rsid w:val="00E64428"/>
    <w:rsid w:val="00E66B2C"/>
    <w:rsid w:val="00E66E14"/>
    <w:rsid w:val="00E6764B"/>
    <w:rsid w:val="00E67BFB"/>
    <w:rsid w:val="00E7083F"/>
    <w:rsid w:val="00E72568"/>
    <w:rsid w:val="00E72A33"/>
    <w:rsid w:val="00E72D82"/>
    <w:rsid w:val="00E74371"/>
    <w:rsid w:val="00E748BF"/>
    <w:rsid w:val="00E75A05"/>
    <w:rsid w:val="00E770B4"/>
    <w:rsid w:val="00E771D9"/>
    <w:rsid w:val="00E8002E"/>
    <w:rsid w:val="00E800BE"/>
    <w:rsid w:val="00E8014A"/>
    <w:rsid w:val="00E80660"/>
    <w:rsid w:val="00E8089F"/>
    <w:rsid w:val="00E80F78"/>
    <w:rsid w:val="00E81913"/>
    <w:rsid w:val="00E834F2"/>
    <w:rsid w:val="00E83705"/>
    <w:rsid w:val="00E8420F"/>
    <w:rsid w:val="00E853AC"/>
    <w:rsid w:val="00E8565F"/>
    <w:rsid w:val="00E86992"/>
    <w:rsid w:val="00E87C73"/>
    <w:rsid w:val="00E90485"/>
    <w:rsid w:val="00E916CC"/>
    <w:rsid w:val="00E9177F"/>
    <w:rsid w:val="00E91DC4"/>
    <w:rsid w:val="00E92726"/>
    <w:rsid w:val="00E92780"/>
    <w:rsid w:val="00E931B7"/>
    <w:rsid w:val="00E94321"/>
    <w:rsid w:val="00E94CF0"/>
    <w:rsid w:val="00E9536A"/>
    <w:rsid w:val="00E96782"/>
    <w:rsid w:val="00E96F19"/>
    <w:rsid w:val="00E97132"/>
    <w:rsid w:val="00EA1235"/>
    <w:rsid w:val="00EA12DD"/>
    <w:rsid w:val="00EA1A77"/>
    <w:rsid w:val="00EA2BEF"/>
    <w:rsid w:val="00EA31FD"/>
    <w:rsid w:val="00EA37AD"/>
    <w:rsid w:val="00EA385F"/>
    <w:rsid w:val="00EA3B1D"/>
    <w:rsid w:val="00EA3C07"/>
    <w:rsid w:val="00EA4299"/>
    <w:rsid w:val="00EA4367"/>
    <w:rsid w:val="00EA6124"/>
    <w:rsid w:val="00EA6621"/>
    <w:rsid w:val="00EA7808"/>
    <w:rsid w:val="00EA7B63"/>
    <w:rsid w:val="00EA7C09"/>
    <w:rsid w:val="00EB03C3"/>
    <w:rsid w:val="00EB0691"/>
    <w:rsid w:val="00EB0C14"/>
    <w:rsid w:val="00EB296C"/>
    <w:rsid w:val="00EB2F18"/>
    <w:rsid w:val="00EB323D"/>
    <w:rsid w:val="00EB3B2D"/>
    <w:rsid w:val="00EB3CBA"/>
    <w:rsid w:val="00EB4535"/>
    <w:rsid w:val="00EB538B"/>
    <w:rsid w:val="00EB53EF"/>
    <w:rsid w:val="00EB6389"/>
    <w:rsid w:val="00EB6CC8"/>
    <w:rsid w:val="00EB722E"/>
    <w:rsid w:val="00EB75DE"/>
    <w:rsid w:val="00EC0181"/>
    <w:rsid w:val="00EC0594"/>
    <w:rsid w:val="00EC126C"/>
    <w:rsid w:val="00EC16F8"/>
    <w:rsid w:val="00EC1C19"/>
    <w:rsid w:val="00EC2089"/>
    <w:rsid w:val="00EC218C"/>
    <w:rsid w:val="00EC2E81"/>
    <w:rsid w:val="00EC32BA"/>
    <w:rsid w:val="00EC34F3"/>
    <w:rsid w:val="00EC3EB7"/>
    <w:rsid w:val="00EC4625"/>
    <w:rsid w:val="00EC4B7F"/>
    <w:rsid w:val="00EC4C40"/>
    <w:rsid w:val="00EC623B"/>
    <w:rsid w:val="00EC6DF1"/>
    <w:rsid w:val="00EC7776"/>
    <w:rsid w:val="00ED0308"/>
    <w:rsid w:val="00ED1F7A"/>
    <w:rsid w:val="00ED2391"/>
    <w:rsid w:val="00ED35B5"/>
    <w:rsid w:val="00ED39C2"/>
    <w:rsid w:val="00ED4928"/>
    <w:rsid w:val="00ED57EF"/>
    <w:rsid w:val="00ED75E0"/>
    <w:rsid w:val="00ED7A6E"/>
    <w:rsid w:val="00ED7BCA"/>
    <w:rsid w:val="00EE1429"/>
    <w:rsid w:val="00EE1F1D"/>
    <w:rsid w:val="00EE2F06"/>
    <w:rsid w:val="00EE3415"/>
    <w:rsid w:val="00EE36CE"/>
    <w:rsid w:val="00EE43EF"/>
    <w:rsid w:val="00EE5443"/>
    <w:rsid w:val="00EE5520"/>
    <w:rsid w:val="00EE614D"/>
    <w:rsid w:val="00EE66BF"/>
    <w:rsid w:val="00EE7050"/>
    <w:rsid w:val="00EE775C"/>
    <w:rsid w:val="00EF00F9"/>
    <w:rsid w:val="00EF0AD7"/>
    <w:rsid w:val="00EF15D8"/>
    <w:rsid w:val="00EF1AA5"/>
    <w:rsid w:val="00EF1FBA"/>
    <w:rsid w:val="00EF20EC"/>
    <w:rsid w:val="00EF2549"/>
    <w:rsid w:val="00EF30C6"/>
    <w:rsid w:val="00EF3594"/>
    <w:rsid w:val="00EF37E4"/>
    <w:rsid w:val="00EF3A62"/>
    <w:rsid w:val="00EF46D6"/>
    <w:rsid w:val="00EF5504"/>
    <w:rsid w:val="00EF5594"/>
    <w:rsid w:val="00EF681E"/>
    <w:rsid w:val="00EF7627"/>
    <w:rsid w:val="00EF7CF1"/>
    <w:rsid w:val="00F003BC"/>
    <w:rsid w:val="00F0067B"/>
    <w:rsid w:val="00F01CE2"/>
    <w:rsid w:val="00F01EC8"/>
    <w:rsid w:val="00F06A38"/>
    <w:rsid w:val="00F0776F"/>
    <w:rsid w:val="00F1025E"/>
    <w:rsid w:val="00F11771"/>
    <w:rsid w:val="00F11FBE"/>
    <w:rsid w:val="00F122F1"/>
    <w:rsid w:val="00F137A5"/>
    <w:rsid w:val="00F147EF"/>
    <w:rsid w:val="00F14A07"/>
    <w:rsid w:val="00F14B9B"/>
    <w:rsid w:val="00F14CA2"/>
    <w:rsid w:val="00F155B6"/>
    <w:rsid w:val="00F1790B"/>
    <w:rsid w:val="00F17F6B"/>
    <w:rsid w:val="00F17FFD"/>
    <w:rsid w:val="00F2017A"/>
    <w:rsid w:val="00F20C29"/>
    <w:rsid w:val="00F2155E"/>
    <w:rsid w:val="00F22938"/>
    <w:rsid w:val="00F23136"/>
    <w:rsid w:val="00F231DA"/>
    <w:rsid w:val="00F233E3"/>
    <w:rsid w:val="00F235B3"/>
    <w:rsid w:val="00F23B92"/>
    <w:rsid w:val="00F23CF8"/>
    <w:rsid w:val="00F23E96"/>
    <w:rsid w:val="00F24F7D"/>
    <w:rsid w:val="00F25809"/>
    <w:rsid w:val="00F268A2"/>
    <w:rsid w:val="00F30FEA"/>
    <w:rsid w:val="00F31576"/>
    <w:rsid w:val="00F319C2"/>
    <w:rsid w:val="00F3244E"/>
    <w:rsid w:val="00F3273E"/>
    <w:rsid w:val="00F332FC"/>
    <w:rsid w:val="00F33729"/>
    <w:rsid w:val="00F33A4F"/>
    <w:rsid w:val="00F3434A"/>
    <w:rsid w:val="00F34464"/>
    <w:rsid w:val="00F34733"/>
    <w:rsid w:val="00F34B7B"/>
    <w:rsid w:val="00F35059"/>
    <w:rsid w:val="00F35298"/>
    <w:rsid w:val="00F35871"/>
    <w:rsid w:val="00F3588E"/>
    <w:rsid w:val="00F36006"/>
    <w:rsid w:val="00F361A9"/>
    <w:rsid w:val="00F363E4"/>
    <w:rsid w:val="00F36646"/>
    <w:rsid w:val="00F36D2C"/>
    <w:rsid w:val="00F37622"/>
    <w:rsid w:val="00F37C08"/>
    <w:rsid w:val="00F4041B"/>
    <w:rsid w:val="00F40B81"/>
    <w:rsid w:val="00F40BA3"/>
    <w:rsid w:val="00F422EA"/>
    <w:rsid w:val="00F438A1"/>
    <w:rsid w:val="00F4456D"/>
    <w:rsid w:val="00F44844"/>
    <w:rsid w:val="00F448E2"/>
    <w:rsid w:val="00F450E3"/>
    <w:rsid w:val="00F45412"/>
    <w:rsid w:val="00F45D80"/>
    <w:rsid w:val="00F45F23"/>
    <w:rsid w:val="00F4663D"/>
    <w:rsid w:val="00F466BC"/>
    <w:rsid w:val="00F4732B"/>
    <w:rsid w:val="00F47629"/>
    <w:rsid w:val="00F47BCF"/>
    <w:rsid w:val="00F50330"/>
    <w:rsid w:val="00F51CB9"/>
    <w:rsid w:val="00F520D0"/>
    <w:rsid w:val="00F5259E"/>
    <w:rsid w:val="00F52F22"/>
    <w:rsid w:val="00F52F8C"/>
    <w:rsid w:val="00F53BEC"/>
    <w:rsid w:val="00F53CF4"/>
    <w:rsid w:val="00F53D88"/>
    <w:rsid w:val="00F54EF9"/>
    <w:rsid w:val="00F554A9"/>
    <w:rsid w:val="00F560A6"/>
    <w:rsid w:val="00F568DF"/>
    <w:rsid w:val="00F5704A"/>
    <w:rsid w:val="00F571CE"/>
    <w:rsid w:val="00F575C5"/>
    <w:rsid w:val="00F579EA"/>
    <w:rsid w:val="00F60041"/>
    <w:rsid w:val="00F60308"/>
    <w:rsid w:val="00F6036B"/>
    <w:rsid w:val="00F6038A"/>
    <w:rsid w:val="00F60B69"/>
    <w:rsid w:val="00F60FF2"/>
    <w:rsid w:val="00F61341"/>
    <w:rsid w:val="00F6309A"/>
    <w:rsid w:val="00F636A1"/>
    <w:rsid w:val="00F638C5"/>
    <w:rsid w:val="00F6502E"/>
    <w:rsid w:val="00F665BC"/>
    <w:rsid w:val="00F67A7F"/>
    <w:rsid w:val="00F67BA7"/>
    <w:rsid w:val="00F70004"/>
    <w:rsid w:val="00F70C93"/>
    <w:rsid w:val="00F71062"/>
    <w:rsid w:val="00F71517"/>
    <w:rsid w:val="00F71827"/>
    <w:rsid w:val="00F742BF"/>
    <w:rsid w:val="00F7446F"/>
    <w:rsid w:val="00F748AD"/>
    <w:rsid w:val="00F74FB6"/>
    <w:rsid w:val="00F74FF5"/>
    <w:rsid w:val="00F75824"/>
    <w:rsid w:val="00F75E53"/>
    <w:rsid w:val="00F7624F"/>
    <w:rsid w:val="00F777C8"/>
    <w:rsid w:val="00F77D68"/>
    <w:rsid w:val="00F80431"/>
    <w:rsid w:val="00F811C4"/>
    <w:rsid w:val="00F81E0D"/>
    <w:rsid w:val="00F825C6"/>
    <w:rsid w:val="00F82D41"/>
    <w:rsid w:val="00F83313"/>
    <w:rsid w:val="00F83D75"/>
    <w:rsid w:val="00F83F20"/>
    <w:rsid w:val="00F84393"/>
    <w:rsid w:val="00F84C8F"/>
    <w:rsid w:val="00F85308"/>
    <w:rsid w:val="00F85507"/>
    <w:rsid w:val="00F86261"/>
    <w:rsid w:val="00F86647"/>
    <w:rsid w:val="00F86E59"/>
    <w:rsid w:val="00F87490"/>
    <w:rsid w:val="00F90C4E"/>
    <w:rsid w:val="00F90EFF"/>
    <w:rsid w:val="00F90F7E"/>
    <w:rsid w:val="00F9203E"/>
    <w:rsid w:val="00F92187"/>
    <w:rsid w:val="00F93583"/>
    <w:rsid w:val="00F938B9"/>
    <w:rsid w:val="00F942E9"/>
    <w:rsid w:val="00F94783"/>
    <w:rsid w:val="00F966A8"/>
    <w:rsid w:val="00F96E25"/>
    <w:rsid w:val="00F96E9F"/>
    <w:rsid w:val="00F9706C"/>
    <w:rsid w:val="00F97CD6"/>
    <w:rsid w:val="00FA097A"/>
    <w:rsid w:val="00FA181D"/>
    <w:rsid w:val="00FA20FD"/>
    <w:rsid w:val="00FA2DFD"/>
    <w:rsid w:val="00FA3186"/>
    <w:rsid w:val="00FA3864"/>
    <w:rsid w:val="00FA5784"/>
    <w:rsid w:val="00FA67B2"/>
    <w:rsid w:val="00FA68F6"/>
    <w:rsid w:val="00FA6C0D"/>
    <w:rsid w:val="00FA6D69"/>
    <w:rsid w:val="00FA7B5E"/>
    <w:rsid w:val="00FB156E"/>
    <w:rsid w:val="00FB30A4"/>
    <w:rsid w:val="00FB3269"/>
    <w:rsid w:val="00FB3684"/>
    <w:rsid w:val="00FB5A7B"/>
    <w:rsid w:val="00FB6338"/>
    <w:rsid w:val="00FB63CD"/>
    <w:rsid w:val="00FB6B69"/>
    <w:rsid w:val="00FB7815"/>
    <w:rsid w:val="00FB78C4"/>
    <w:rsid w:val="00FC00EC"/>
    <w:rsid w:val="00FC0547"/>
    <w:rsid w:val="00FC091B"/>
    <w:rsid w:val="00FC0930"/>
    <w:rsid w:val="00FC09AB"/>
    <w:rsid w:val="00FC1224"/>
    <w:rsid w:val="00FC2001"/>
    <w:rsid w:val="00FC2AF3"/>
    <w:rsid w:val="00FC3555"/>
    <w:rsid w:val="00FC35CB"/>
    <w:rsid w:val="00FC3EB9"/>
    <w:rsid w:val="00FC42D9"/>
    <w:rsid w:val="00FC4BBB"/>
    <w:rsid w:val="00FC6482"/>
    <w:rsid w:val="00FC7FC1"/>
    <w:rsid w:val="00FD10BC"/>
    <w:rsid w:val="00FD1177"/>
    <w:rsid w:val="00FD1E98"/>
    <w:rsid w:val="00FD209D"/>
    <w:rsid w:val="00FD32FE"/>
    <w:rsid w:val="00FD3386"/>
    <w:rsid w:val="00FD3F2E"/>
    <w:rsid w:val="00FD4451"/>
    <w:rsid w:val="00FD644C"/>
    <w:rsid w:val="00FD7696"/>
    <w:rsid w:val="00FE04E4"/>
    <w:rsid w:val="00FE076E"/>
    <w:rsid w:val="00FE085A"/>
    <w:rsid w:val="00FE0A64"/>
    <w:rsid w:val="00FE0C0E"/>
    <w:rsid w:val="00FE1571"/>
    <w:rsid w:val="00FE2C27"/>
    <w:rsid w:val="00FE2F43"/>
    <w:rsid w:val="00FE375C"/>
    <w:rsid w:val="00FE39A7"/>
    <w:rsid w:val="00FE3B62"/>
    <w:rsid w:val="00FE4336"/>
    <w:rsid w:val="00FE5DAC"/>
    <w:rsid w:val="00FE6B85"/>
    <w:rsid w:val="00FE70B4"/>
    <w:rsid w:val="00FE725B"/>
    <w:rsid w:val="00FE76D8"/>
    <w:rsid w:val="00FE7DFF"/>
    <w:rsid w:val="00FF15A7"/>
    <w:rsid w:val="00FF214B"/>
    <w:rsid w:val="00FF40FD"/>
    <w:rsid w:val="00FF483E"/>
    <w:rsid w:val="00FF5556"/>
    <w:rsid w:val="00FF57D3"/>
    <w:rsid w:val="00FF5A15"/>
    <w:rsid w:val="00FF5C5A"/>
    <w:rsid w:val="00FF6A43"/>
    <w:rsid w:val="00FF7995"/>
    <w:rsid w:val="00FF7D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5E95C"/>
  <w15:chartTrackingRefBased/>
  <w15:docId w15:val="{213D5CA6-C192-A344-BD07-1AAD510A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F20"/>
    <w:rPr>
      <w:rFonts w:eastAsia="Times New Roman"/>
      <w:lang w:val="en-GB"/>
    </w:rPr>
  </w:style>
  <w:style w:type="paragraph" w:styleId="Titre2">
    <w:name w:val="heading 2"/>
    <w:basedOn w:val="Normal"/>
    <w:next w:val="Normal"/>
    <w:qFormat/>
    <w:rsid w:val="00C140BD"/>
    <w:pPr>
      <w:keepNext/>
      <w:ind w:left="284"/>
      <w:outlineLvl w:val="1"/>
    </w:pPr>
    <w:rPr>
      <w:sz w:val="24"/>
      <w:lang w:val="fr-FR"/>
    </w:rPr>
  </w:style>
  <w:style w:type="paragraph" w:styleId="Titre3">
    <w:name w:val="heading 3"/>
    <w:basedOn w:val="Normal"/>
    <w:next w:val="Normal"/>
    <w:qFormat/>
    <w:rsid w:val="00C140BD"/>
    <w:pPr>
      <w:keepNext/>
      <w:tabs>
        <w:tab w:val="left" w:pos="8364"/>
        <w:tab w:val="left" w:pos="8789"/>
      </w:tabs>
      <w:ind w:left="5664" w:right="-284"/>
      <w:outlineLvl w:val="2"/>
    </w:pPr>
    <w:rPr>
      <w:sz w:val="24"/>
    </w:rPr>
  </w:style>
  <w:style w:type="paragraph" w:styleId="Titre4">
    <w:name w:val="heading 4"/>
    <w:basedOn w:val="Normal"/>
    <w:next w:val="Normal"/>
    <w:qFormat/>
    <w:rsid w:val="00C140BD"/>
    <w:pPr>
      <w:keepNext/>
      <w:outlineLvl w:val="3"/>
    </w:pPr>
    <w:rPr>
      <w:b/>
      <w:sz w:val="24"/>
    </w:rPr>
  </w:style>
  <w:style w:type="paragraph" w:styleId="Titre7">
    <w:name w:val="heading 7"/>
    <w:basedOn w:val="Normal"/>
    <w:next w:val="Normal"/>
    <w:qFormat/>
    <w:rsid w:val="00C140BD"/>
    <w:pPr>
      <w:keepNext/>
      <w:outlineLvl w:val="6"/>
    </w:pPr>
    <w:rPr>
      <w:color w:val="000000"/>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qFormat/>
    <w:rsid w:val="00C140BD"/>
    <w:pPr>
      <w:jc w:val="center"/>
    </w:pPr>
    <w:rPr>
      <w:b/>
      <w:sz w:val="24"/>
      <w:lang w:val="fr-FR"/>
    </w:rPr>
  </w:style>
  <w:style w:type="paragraph" w:styleId="Corpsdetexte2">
    <w:name w:val="Body Text 2"/>
    <w:basedOn w:val="Normal"/>
    <w:rsid w:val="00C140BD"/>
    <w:pPr>
      <w:ind w:right="-284"/>
      <w:jc w:val="both"/>
    </w:pPr>
    <w:rPr>
      <w:sz w:val="24"/>
      <w:lang w:val="fr-FR"/>
    </w:rPr>
  </w:style>
  <w:style w:type="paragraph" w:styleId="Retraitcorpsdetexte">
    <w:name w:val="Body Text Indent"/>
    <w:basedOn w:val="Normal"/>
    <w:rsid w:val="00C140BD"/>
    <w:pPr>
      <w:ind w:left="284"/>
    </w:pPr>
    <w:rPr>
      <w:sz w:val="24"/>
      <w:lang w:val="fr-FR"/>
    </w:rPr>
  </w:style>
  <w:style w:type="paragraph" w:styleId="Corpsdetexte">
    <w:name w:val="Body Text"/>
    <w:basedOn w:val="Normal"/>
    <w:link w:val="CorpsdetexteCar"/>
    <w:rsid w:val="00C140BD"/>
    <w:pPr>
      <w:jc w:val="both"/>
    </w:pPr>
    <w:rPr>
      <w:sz w:val="24"/>
      <w:lang w:val="fr-FR"/>
    </w:rPr>
  </w:style>
  <w:style w:type="paragraph" w:styleId="En-tte">
    <w:name w:val="header"/>
    <w:basedOn w:val="Normal"/>
    <w:link w:val="En-tteCar"/>
    <w:uiPriority w:val="99"/>
    <w:rsid w:val="00C140BD"/>
    <w:pPr>
      <w:tabs>
        <w:tab w:val="center" w:pos="4536"/>
        <w:tab w:val="right" w:pos="9072"/>
      </w:tabs>
    </w:pPr>
  </w:style>
  <w:style w:type="paragraph" w:styleId="Pieddepage">
    <w:name w:val="footer"/>
    <w:basedOn w:val="Normal"/>
    <w:link w:val="PieddepageCar"/>
    <w:uiPriority w:val="99"/>
    <w:rsid w:val="00C140BD"/>
    <w:pPr>
      <w:tabs>
        <w:tab w:val="center" w:pos="4536"/>
        <w:tab w:val="right" w:pos="9072"/>
      </w:tabs>
    </w:pPr>
  </w:style>
  <w:style w:type="character" w:styleId="Numrodepage">
    <w:name w:val="page number"/>
    <w:basedOn w:val="Policepardfaut"/>
    <w:rsid w:val="00C140BD"/>
  </w:style>
  <w:style w:type="character" w:styleId="Lienhypertexte">
    <w:name w:val="Hyperlink"/>
    <w:rsid w:val="00C140BD"/>
    <w:rPr>
      <w:color w:val="0000FF"/>
      <w:u w:val="single"/>
    </w:rPr>
  </w:style>
  <w:style w:type="table" w:styleId="Grilledutableau">
    <w:name w:val="Table Grid"/>
    <w:basedOn w:val="TableauNormal"/>
    <w:rsid w:val="00C140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45E53"/>
    <w:rPr>
      <w:rFonts w:ascii="Tahoma" w:hAnsi="Tahoma" w:cs="Tahoma"/>
      <w:sz w:val="16"/>
      <w:szCs w:val="16"/>
    </w:rPr>
  </w:style>
  <w:style w:type="character" w:customStyle="1" w:styleId="CorpsdetexteCar">
    <w:name w:val="Corps de texte Car"/>
    <w:link w:val="Corpsdetexte"/>
    <w:rsid w:val="00FA6C0D"/>
    <w:rPr>
      <w:rFonts w:eastAsia="Times New Roman"/>
      <w:sz w:val="24"/>
    </w:rPr>
  </w:style>
  <w:style w:type="character" w:customStyle="1" w:styleId="PieddepageCar">
    <w:name w:val="Pied de page Car"/>
    <w:link w:val="Pieddepage"/>
    <w:uiPriority w:val="99"/>
    <w:rsid w:val="00651394"/>
    <w:rPr>
      <w:rFonts w:eastAsia="Times New Roman"/>
      <w:lang w:val="en-GB"/>
    </w:rPr>
  </w:style>
  <w:style w:type="character" w:customStyle="1" w:styleId="En-tteCar">
    <w:name w:val="En-tête Car"/>
    <w:link w:val="En-tte"/>
    <w:uiPriority w:val="99"/>
    <w:rsid w:val="006F72AB"/>
    <w:rPr>
      <w:rFonts w:eastAsia="Times New Roman"/>
      <w:lang w:val="en-GB"/>
    </w:rPr>
  </w:style>
  <w:style w:type="paragraph" w:customStyle="1" w:styleId="TEXTE">
    <w:name w:val="TEXTE"/>
    <w:basedOn w:val="Normal"/>
    <w:qFormat/>
    <w:rsid w:val="00415083"/>
    <w:rPr>
      <w:rFonts w:ascii="LVMH" w:eastAsia="LVMH" w:hAnsi="LVMH" w:cs="Times New Roman (Corps CS)"/>
      <w:color w:val="231F20"/>
      <w:spacing w:val="2"/>
      <w:lang w:val="fr-FR" w:eastAsia="en-US"/>
    </w:rPr>
  </w:style>
  <w:style w:type="paragraph" w:customStyle="1" w:styleId="Default">
    <w:name w:val="Default"/>
    <w:rsid w:val="00415083"/>
    <w:pPr>
      <w:autoSpaceDE w:val="0"/>
      <w:autoSpaceDN w:val="0"/>
      <w:adjustRightInd w:val="0"/>
    </w:pPr>
    <w:rPr>
      <w:rFonts w:ascii="LVMH" w:eastAsia="LVMH" w:hAnsi="LVMH" w:cs="LVMH"/>
      <w:color w:val="000000"/>
      <w:sz w:val="24"/>
      <w:szCs w:val="24"/>
      <w:lang w:eastAsia="en-US"/>
    </w:rPr>
  </w:style>
  <w:style w:type="character" w:styleId="Lienhypertextesuivivisit">
    <w:name w:val="FollowedHyperlink"/>
    <w:rsid w:val="00EE43EF"/>
    <w:rPr>
      <w:color w:val="954F72"/>
      <w:u w:val="single"/>
    </w:rPr>
  </w:style>
  <w:style w:type="character" w:styleId="Mentionnonrsolue">
    <w:name w:val="Unresolved Mention"/>
    <w:uiPriority w:val="99"/>
    <w:semiHidden/>
    <w:unhideWhenUsed/>
    <w:rsid w:val="00EE4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73680">
      <w:bodyDiv w:val="1"/>
      <w:marLeft w:val="0"/>
      <w:marRight w:val="0"/>
      <w:marTop w:val="0"/>
      <w:marBottom w:val="0"/>
      <w:divBdr>
        <w:top w:val="none" w:sz="0" w:space="0" w:color="auto"/>
        <w:left w:val="none" w:sz="0" w:space="0" w:color="auto"/>
        <w:bottom w:val="none" w:sz="0" w:space="0" w:color="auto"/>
        <w:right w:val="none" w:sz="0" w:space="0" w:color="auto"/>
      </w:divBdr>
    </w:div>
    <w:div w:id="11640117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vmh.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vmh.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1416D-5540-4D31-938D-13D5D685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2765</Words>
  <Characters>15208</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Communiqué LVMH</vt:lpstr>
      <vt:lpstr>Communiqué LVMH</vt:lpstr>
    </vt:vector>
  </TitlesOfParts>
  <Company>MOET HENNESSY</Company>
  <LinksUpToDate>false</LinksUpToDate>
  <CharactersWithSpaces>17938</CharactersWithSpaces>
  <SharedDoc>false</SharedDoc>
  <HLinks>
    <vt:vector size="18" baseType="variant">
      <vt:variant>
        <vt:i4>4456512</vt:i4>
      </vt:variant>
      <vt:variant>
        <vt:i4>6</vt:i4>
      </vt:variant>
      <vt:variant>
        <vt:i4>0</vt:i4>
      </vt:variant>
      <vt:variant>
        <vt:i4>5</vt:i4>
      </vt:variant>
      <vt:variant>
        <vt:lpwstr>http://www.lvmh.com/</vt:lpwstr>
      </vt:variant>
      <vt:variant>
        <vt:lpwstr/>
      </vt:variant>
      <vt:variant>
        <vt:i4>3538996</vt:i4>
      </vt:variant>
      <vt:variant>
        <vt:i4>3</vt:i4>
      </vt:variant>
      <vt:variant>
        <vt:i4>0</vt:i4>
      </vt:variant>
      <vt:variant>
        <vt:i4>5</vt:i4>
      </vt:variant>
      <vt:variant>
        <vt:lpwstr>https://www.lvmh.fr/actionnaires/agenda/resultats-semestriels-2023/</vt:lpwstr>
      </vt:variant>
      <vt:variant>
        <vt:lpwstr/>
      </vt:variant>
      <vt:variant>
        <vt:i4>7733288</vt:i4>
      </vt:variant>
      <vt:variant>
        <vt:i4>0</vt:i4>
      </vt:variant>
      <vt:variant>
        <vt:i4>0</vt:i4>
      </vt:variant>
      <vt:variant>
        <vt:i4>5</vt:i4>
      </vt:variant>
      <vt:variant>
        <vt:lpwstr>http://www.lvmh.fr/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LVMH</dc:title>
  <dc:subject/>
  <dc:creator>Karine BILLET</dc:creator>
  <cp:keywords/>
  <cp:lastModifiedBy>Margot PETITDEMANGE</cp:lastModifiedBy>
  <cp:revision>3</cp:revision>
  <cp:lastPrinted>2023-07-24T06:11:00Z</cp:lastPrinted>
  <dcterms:created xsi:type="dcterms:W3CDTF">2024-06-11T14:05:00Z</dcterms:created>
  <dcterms:modified xsi:type="dcterms:W3CDTF">2024-06-11T14:09:00Z</dcterms:modified>
</cp:coreProperties>
</file>